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25C6B4" w14:textId="77777777" w:rsidR="003D5452" w:rsidRDefault="003E017B">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6744D469" w14:textId="77777777" w:rsidR="003D5452" w:rsidRDefault="003D5452">
      <w:pPr>
        <w:jc w:val="center"/>
        <w:rPr>
          <w:rFonts w:ascii="Arial" w:eastAsia="Arial" w:hAnsi="Arial" w:cs="Arial"/>
          <w:sz w:val="22"/>
          <w:szCs w:val="22"/>
          <w:highlight w:val="white"/>
        </w:rPr>
      </w:pPr>
      <w:bookmarkStart w:id="1" w:name="_heading=h.tziib8mju948" w:colFirst="0" w:colLast="0"/>
      <w:bookmarkEnd w:id="1"/>
    </w:p>
    <w:p w14:paraId="5695A512" w14:textId="77777777" w:rsidR="003D5452" w:rsidRDefault="003E017B">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45EA9714" w14:textId="77777777" w:rsidR="003D5452" w:rsidRDefault="003D5452">
      <w:pPr>
        <w:jc w:val="center"/>
        <w:rPr>
          <w:rFonts w:ascii="Arial" w:eastAsia="Arial" w:hAnsi="Arial" w:cs="Arial"/>
          <w:sz w:val="22"/>
          <w:szCs w:val="22"/>
          <w:highlight w:val="white"/>
        </w:rPr>
      </w:pPr>
    </w:p>
    <w:p w14:paraId="53B2B78D" w14:textId="77777777" w:rsidR="003D5452" w:rsidRDefault="003E017B">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0A387B89" w14:textId="77777777" w:rsidR="003D5452" w:rsidRDefault="003D5452">
      <w:pPr>
        <w:jc w:val="both"/>
        <w:rPr>
          <w:rFonts w:ascii="Arial" w:eastAsia="Arial" w:hAnsi="Arial" w:cs="Arial"/>
          <w:sz w:val="22"/>
          <w:szCs w:val="22"/>
        </w:rPr>
      </w:pPr>
      <w:bookmarkStart w:id="2" w:name="_heading=h.vmq5jlsylcjh" w:colFirst="0" w:colLast="0"/>
      <w:bookmarkEnd w:id="2"/>
    </w:p>
    <w:p w14:paraId="33E7EC0B" w14:textId="19EEFF02" w:rsidR="003D5452" w:rsidRDefault="003E017B">
      <w:pPr>
        <w:widowControl w:val="0"/>
        <w:jc w:val="both"/>
        <w:rPr>
          <w:rFonts w:ascii="Arial" w:eastAsia="Arial" w:hAnsi="Arial" w:cs="Arial"/>
          <w:sz w:val="22"/>
          <w:szCs w:val="22"/>
          <w:highlight w:val="white"/>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w:t>
      </w:r>
      <w:r>
        <w:rPr>
          <w:rFonts w:ascii="Arial" w:eastAsia="Arial" w:hAnsi="Arial" w:cs="Arial"/>
          <w:sz w:val="22"/>
          <w:szCs w:val="22"/>
          <w:highlight w:val="white"/>
        </w:rPr>
        <w:t xml:space="preserve">asumió de oficio el conocimiento de la queja relacionada con las presuntas irregularidades presentes en las zonas privadas del Apartamento 430 de la Torre 10 del proyecto de vivienda AGRUPACIÓN RESIDENCIAL PRADERA DE SAN CARLOS - PROPIEDAD HORIZONTAL, ubicado en la Carrera 11A No. 190-12 de esta ciudad, contra la sociedad enajenadora </w:t>
      </w:r>
      <w:r w:rsidR="00010B07">
        <w:rPr>
          <w:rFonts w:ascii="Arial" w:eastAsia="Arial" w:hAnsi="Arial" w:cs="Arial"/>
          <w:sz w:val="22"/>
          <w:szCs w:val="22"/>
          <w:highlight w:val="white"/>
        </w:rPr>
        <w:t xml:space="preserve">URBANIZADORA MARIN VALENCIA S.A., ahora </w:t>
      </w:r>
      <w:r>
        <w:rPr>
          <w:rFonts w:ascii="Arial" w:eastAsia="Arial" w:hAnsi="Arial" w:cs="Arial"/>
          <w:sz w:val="22"/>
          <w:szCs w:val="22"/>
          <w:highlight w:val="white"/>
        </w:rPr>
        <w:t>URBANIZADORA MARVAL S.A.S, con NIT 830.012.053-3, representada legalmente por el señor SERGIO MARÍN VALENCIA (o quien haga sus veces), actuación a la que le correspondió el radicado No. 3-2017-23633-138.</w:t>
      </w:r>
    </w:p>
    <w:p w14:paraId="63574174" w14:textId="77777777" w:rsidR="003D5452" w:rsidRDefault="003D5452">
      <w:pPr>
        <w:widowControl w:val="0"/>
        <w:jc w:val="both"/>
        <w:rPr>
          <w:rFonts w:ascii="Arial" w:eastAsia="Arial" w:hAnsi="Arial" w:cs="Arial"/>
          <w:sz w:val="22"/>
          <w:szCs w:val="22"/>
          <w:highlight w:val="white"/>
        </w:rPr>
      </w:pPr>
    </w:p>
    <w:p w14:paraId="2576E8B7" w14:textId="6DA288F5" w:rsidR="003D5452" w:rsidRDefault="003E017B">
      <w:pPr>
        <w:widowControl w:val="0"/>
        <w:pBdr>
          <w:top w:val="nil"/>
          <w:left w:val="nil"/>
          <w:bottom w:val="nil"/>
          <w:right w:val="nil"/>
          <w:between w:val="nil"/>
        </w:pBdr>
        <w:jc w:val="both"/>
        <w:rPr>
          <w:rFonts w:ascii="Arial" w:eastAsia="Arial" w:hAnsi="Arial" w:cs="Arial"/>
          <w:sz w:val="22"/>
          <w:szCs w:val="22"/>
          <w:highlight w:val="white"/>
        </w:rPr>
      </w:pPr>
      <w:r>
        <w:rPr>
          <w:rFonts w:ascii="Arial" w:eastAsia="Arial" w:hAnsi="Arial" w:cs="Arial"/>
          <w:sz w:val="22"/>
          <w:szCs w:val="22"/>
        </w:rPr>
        <w:t xml:space="preserve">Que, una vez surtidas las actuaciones procesales pertinentes, esta Dirección, mediante </w:t>
      </w:r>
      <w:r>
        <w:rPr>
          <w:rFonts w:ascii="Arial" w:eastAsia="Arial" w:hAnsi="Arial" w:cs="Arial"/>
          <w:sz w:val="22"/>
          <w:szCs w:val="22"/>
          <w:highlight w:val="white"/>
        </w:rPr>
        <w:t>Resolución No. 2138 del 25 de septiembre de 2019</w:t>
      </w:r>
      <w:r>
        <w:rPr>
          <w:rFonts w:ascii="Arial" w:eastAsia="Arial" w:hAnsi="Arial" w:cs="Arial"/>
          <w:sz w:val="22"/>
          <w:szCs w:val="22"/>
        </w:rPr>
        <w:t>,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URBANIZADORA MARVAL S.A.S, Identificada con NIT 830.012.053-3 representada legalmente por el señor SERGIO MARÍN VALENCIA (o quien haga sus veces), por valor de </w:t>
      </w:r>
      <w:r>
        <w:rPr>
          <w:rFonts w:ascii="Arial" w:eastAsia="Arial" w:hAnsi="Arial" w:cs="Arial"/>
          <w:sz w:val="22"/>
          <w:szCs w:val="22"/>
          <w:highlight w:val="white"/>
        </w:rPr>
        <w:t>CUARENTA Y SEIS MIL PESOS ($46.000.00) M/CTE, que indexados a la fecha corresponden a SEIS MILLONES OCHOCIENTOS NOVENTA Y CINCO MIL SEISCIENTOS CUARENTA Y SEIS PESOS (</w:t>
      </w:r>
      <w:r w:rsidR="00010B07">
        <w:rPr>
          <w:rFonts w:ascii="Arial" w:eastAsia="Arial" w:hAnsi="Arial" w:cs="Arial"/>
          <w:sz w:val="22"/>
          <w:szCs w:val="22"/>
          <w:highlight w:val="white"/>
        </w:rPr>
        <w:t>$</w:t>
      </w:r>
      <w:r>
        <w:rPr>
          <w:rFonts w:ascii="Arial" w:eastAsia="Arial" w:hAnsi="Arial" w:cs="Arial"/>
          <w:sz w:val="22"/>
          <w:szCs w:val="22"/>
          <w:highlight w:val="white"/>
        </w:rPr>
        <w:t>6.895.646.00) M/CTE.</w:t>
      </w:r>
    </w:p>
    <w:p w14:paraId="5DCA8BB2" w14:textId="77777777" w:rsidR="003D5452" w:rsidRDefault="003D5452">
      <w:pPr>
        <w:widowControl w:val="0"/>
        <w:pBdr>
          <w:top w:val="nil"/>
          <w:left w:val="nil"/>
          <w:bottom w:val="nil"/>
          <w:right w:val="nil"/>
          <w:between w:val="nil"/>
        </w:pBdr>
        <w:jc w:val="both"/>
        <w:rPr>
          <w:rFonts w:ascii="Arial" w:eastAsia="Arial" w:hAnsi="Arial" w:cs="Arial"/>
          <w:sz w:val="22"/>
          <w:szCs w:val="22"/>
          <w:highlight w:val="white"/>
        </w:rPr>
      </w:pPr>
    </w:p>
    <w:p w14:paraId="3E5E15FD" w14:textId="7812FCD8" w:rsidR="003D5452" w:rsidRDefault="003E017B">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 xml:space="preserve">Que, en los artículos segundo, tercero y </w:t>
      </w:r>
      <w:r w:rsidR="00010B07">
        <w:rPr>
          <w:rFonts w:ascii="Arial" w:eastAsia="Arial" w:hAnsi="Arial" w:cs="Arial"/>
          <w:sz w:val="22"/>
          <w:szCs w:val="22"/>
        </w:rPr>
        <w:t xml:space="preserve">cuarto </w:t>
      </w:r>
      <w:r>
        <w:rPr>
          <w:rFonts w:ascii="Arial" w:eastAsia="Arial" w:hAnsi="Arial" w:cs="Arial"/>
          <w:sz w:val="22"/>
          <w:szCs w:val="22"/>
        </w:rPr>
        <w:t>de la Resolución No. 2138 del 25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3A7E5B16" w14:textId="77777777" w:rsidR="003D5452" w:rsidRDefault="003D5452">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1C791C1B" w14:textId="77777777" w:rsidR="003D5452" w:rsidRDefault="003E017B">
      <w:pPr>
        <w:ind w:left="720" w:right="-92"/>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Requerir a la sociedad URBANIZADORA MARÍN VALENCIA S.A, con NIT 830.012.053-3, representada legalmente por el señor RAFAEL AUGUSTO MARÍN VALENCIA (o quien haga sus veces), para que dentro del término de TRES (3) meses calendario contados a partir del vencimiento del término dispuesto en el artículo segundo de la resolución 830 del 11 de junio de 2019 proferida dentro del expediente1 (zonas comunes) se acoja a la normatividad, para lo cual deberá realizar los trabajos tendientes a solucionar en forma definitiva los hechos que afectan las áreas privadas 430 de la Torre 10 del proyecto de vivienda </w:t>
      </w:r>
      <w:r>
        <w:rPr>
          <w:rFonts w:ascii="Arial" w:eastAsia="Arial" w:hAnsi="Arial" w:cs="Arial"/>
          <w:i/>
          <w:iCs/>
          <w:sz w:val="22"/>
          <w:szCs w:val="22"/>
        </w:rPr>
        <w:lastRenderedPageBreak/>
        <w:t>AGRUPACIÓN RESIDENCIAL PRADERA SAN CARLOS, consistentes en "</w:t>
      </w:r>
      <w:proofErr w:type="spellStart"/>
      <w:r>
        <w:rPr>
          <w:rFonts w:ascii="Arial" w:eastAsia="Arial" w:hAnsi="Arial" w:cs="Arial"/>
          <w:i/>
          <w:iCs/>
          <w:sz w:val="22"/>
          <w:szCs w:val="22"/>
        </w:rPr>
        <w:t>l.fisuras</w:t>
      </w:r>
      <w:proofErr w:type="spellEnd"/>
      <w:r>
        <w:rPr>
          <w:rFonts w:ascii="Arial" w:eastAsia="Arial" w:hAnsi="Arial" w:cs="Arial"/>
          <w:i/>
          <w:iCs/>
          <w:sz w:val="22"/>
          <w:szCs w:val="22"/>
        </w:rPr>
        <w:t xml:space="preserve"> en muro fachada divisorio sala, 2.fisura en dintel ventana alcoba 2, 3.fisura muro divisorio alcoba 2, 4 fisura enchape cuarto de ducha baño social, 7.fisura en muro alcoba principal, 8.fisura en vano ventana alcoba principal, 9.fisura descendente el filo ventana alcoba 3,5. desnivel piso hall y 6.resorta puerta alcoba principal y alcoba 3", ya que constituyen deficiencias constructivas calificadas como afectaciones gravísimas, conforme se evidencia en el Informe de Verificación de Hechos No. 17-428 del 27 de junio de 2017 (folios 7-9), ratificado en el concepto técnico No.19-852 del 14 de agosto de 2019 (folio 157). Ello en el evento que dichos hechos no se hayan intervenido al momento de la notificación de la presente Resolución.</w:t>
      </w:r>
    </w:p>
    <w:p w14:paraId="6D380BBA" w14:textId="77777777" w:rsidR="003D5452" w:rsidRDefault="003D5452">
      <w:pPr>
        <w:ind w:left="720" w:right="-92"/>
        <w:jc w:val="both"/>
        <w:rPr>
          <w:rFonts w:ascii="Arial" w:eastAsia="Arial" w:hAnsi="Arial" w:cs="Arial"/>
          <w:i/>
          <w:iCs/>
          <w:sz w:val="22"/>
          <w:szCs w:val="22"/>
        </w:rPr>
      </w:pPr>
    </w:p>
    <w:p w14:paraId="1A26C932" w14:textId="77777777" w:rsidR="003D5452" w:rsidRDefault="003E017B">
      <w:pPr>
        <w:ind w:left="720" w:right="-92"/>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URBANIZADORA MARÍN VALENCIA S.A, con NIT 830.012.053-3, representada legalmente por el señor RAFAEL AUGUSTO MARIN VALENCIA (o quien haga sus veces), para que dentro de los diez (10) días (hábiles) siguientes al cumplimiento del término otorgado en el artículo anterior, acredite ante este</w:t>
      </w:r>
    </w:p>
    <w:p w14:paraId="5D0148EC" w14:textId="77777777" w:rsidR="003D5452" w:rsidRDefault="003E017B">
      <w:pPr>
        <w:ind w:left="720" w:right="-92"/>
        <w:jc w:val="both"/>
        <w:rPr>
          <w:rFonts w:ascii="Arial" w:eastAsia="Arial" w:hAnsi="Arial" w:cs="Arial"/>
          <w:i/>
          <w:iCs/>
          <w:sz w:val="22"/>
          <w:szCs w:val="22"/>
        </w:rPr>
      </w:pPr>
      <w:r>
        <w:rPr>
          <w:rFonts w:ascii="Arial" w:eastAsia="Arial" w:hAnsi="Arial" w:cs="Arial"/>
          <w:i/>
          <w:iCs/>
          <w:sz w:val="22"/>
          <w:szCs w:val="22"/>
        </w:rPr>
        <w:t>Despacho la realización de las labores de corrección sobre el citado hecho.</w:t>
      </w:r>
    </w:p>
    <w:p w14:paraId="155763B3" w14:textId="77777777" w:rsidR="003D5452" w:rsidRDefault="003D5452">
      <w:pPr>
        <w:ind w:left="720" w:right="-92"/>
        <w:jc w:val="both"/>
        <w:rPr>
          <w:rFonts w:ascii="Arial" w:eastAsia="Arial" w:hAnsi="Arial" w:cs="Arial"/>
          <w:i/>
          <w:iCs/>
          <w:sz w:val="22"/>
          <w:szCs w:val="22"/>
        </w:rPr>
      </w:pPr>
    </w:p>
    <w:p w14:paraId="549874F6" w14:textId="77777777" w:rsidR="003D5452" w:rsidRDefault="003E017B">
      <w:pPr>
        <w:ind w:left="720" w:right="-92"/>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77CBDE46" w14:textId="77777777" w:rsidR="003D5452" w:rsidRDefault="003D5452">
      <w:pPr>
        <w:ind w:right="-92"/>
        <w:jc w:val="both"/>
        <w:rPr>
          <w:rFonts w:ascii="Arial" w:eastAsia="Arial" w:hAnsi="Arial" w:cs="Arial"/>
          <w:b/>
          <w:bCs/>
          <w:i/>
          <w:iCs/>
          <w:sz w:val="22"/>
          <w:szCs w:val="22"/>
        </w:rPr>
      </w:pPr>
    </w:p>
    <w:p w14:paraId="631B2C9F" w14:textId="77777777" w:rsidR="003D5452" w:rsidRDefault="003E017B">
      <w:pPr>
        <w:ind w:right="-92"/>
        <w:jc w:val="both"/>
        <w:rPr>
          <w:rFonts w:ascii="Arial" w:eastAsia="Arial" w:hAnsi="Arial" w:cs="Arial"/>
          <w:sz w:val="22"/>
          <w:szCs w:val="22"/>
        </w:rPr>
      </w:pPr>
      <w:r>
        <w:rPr>
          <w:rFonts w:ascii="Arial" w:eastAsia="Arial" w:hAnsi="Arial" w:cs="Arial"/>
          <w:sz w:val="22"/>
          <w:szCs w:val="22"/>
        </w:rPr>
        <w:t>Que, mediante radicado 1-2019-43238 del 27 de noviembre de 2019 la sociedad enajenadora interpuso recurso de reposición y en subsidio apelación en contra de la Resolución No. 2138 del 25 de septiembre de 2019.</w:t>
      </w:r>
    </w:p>
    <w:p w14:paraId="248BC015" w14:textId="77777777" w:rsidR="003D5452" w:rsidRDefault="003D5452">
      <w:pPr>
        <w:ind w:right="-92"/>
        <w:jc w:val="both"/>
        <w:rPr>
          <w:rFonts w:ascii="Arial" w:eastAsia="Arial" w:hAnsi="Arial" w:cs="Arial"/>
          <w:sz w:val="22"/>
          <w:szCs w:val="22"/>
        </w:rPr>
      </w:pPr>
    </w:p>
    <w:p w14:paraId="08C3D871" w14:textId="7CF2E480" w:rsidR="003D5452" w:rsidRDefault="003E017B">
      <w:pPr>
        <w:ind w:right="-92"/>
        <w:jc w:val="both"/>
        <w:rPr>
          <w:rFonts w:ascii="Arial" w:eastAsia="Arial" w:hAnsi="Arial" w:cs="Arial"/>
          <w:sz w:val="22"/>
          <w:szCs w:val="22"/>
        </w:rPr>
      </w:pPr>
      <w:r>
        <w:rPr>
          <w:rFonts w:ascii="Arial" w:eastAsia="Arial" w:hAnsi="Arial" w:cs="Arial"/>
          <w:sz w:val="22"/>
          <w:szCs w:val="22"/>
        </w:rPr>
        <w:t xml:space="preserve">Que, mediante Resolución No. 690 del 28 de septiembre de 2020 este despacho resuelve recurso de reposición decidiendo no reponer. Posteriormente, mediante Resolución No. 347 del 05 de mayo de 2021 se resolvió recurso de apelación decidiendo confirmar en todas sus partes la Resolución </w:t>
      </w:r>
      <w:r w:rsidR="00010B07">
        <w:rPr>
          <w:rFonts w:ascii="Arial" w:eastAsia="Arial" w:hAnsi="Arial" w:cs="Arial"/>
          <w:sz w:val="22"/>
          <w:szCs w:val="22"/>
        </w:rPr>
        <w:t>recurrida, de esta forma</w:t>
      </w:r>
      <w:r>
        <w:rPr>
          <w:rFonts w:ascii="Arial" w:eastAsia="Arial" w:hAnsi="Arial" w:cs="Arial"/>
          <w:sz w:val="22"/>
          <w:szCs w:val="22"/>
        </w:rPr>
        <w:t xml:space="preserve">, la Resolución No. 2138 del 25 de septiembre de 2019 quedó debidamente ejecutoriada el siete (07) de mayo de 2021. </w:t>
      </w:r>
    </w:p>
    <w:p w14:paraId="5C531E1F" w14:textId="77777777" w:rsidR="003D5452" w:rsidRDefault="003D5452">
      <w:pPr>
        <w:ind w:right="-92"/>
        <w:jc w:val="both"/>
        <w:rPr>
          <w:rFonts w:ascii="Arial" w:eastAsia="Arial" w:hAnsi="Arial" w:cs="Arial"/>
          <w:sz w:val="22"/>
          <w:szCs w:val="22"/>
        </w:rPr>
      </w:pPr>
    </w:p>
    <w:p w14:paraId="7BB77881" w14:textId="77777777" w:rsidR="003D5452" w:rsidRDefault="003E017B">
      <w:pPr>
        <w:ind w:right="-92"/>
        <w:jc w:val="both"/>
        <w:rPr>
          <w:rFonts w:ascii="Arial" w:eastAsia="Arial" w:hAnsi="Arial" w:cs="Arial"/>
          <w:sz w:val="22"/>
          <w:szCs w:val="22"/>
        </w:rPr>
      </w:pPr>
      <w:r>
        <w:rPr>
          <w:rFonts w:ascii="Arial" w:eastAsia="Arial" w:hAnsi="Arial" w:cs="Arial"/>
          <w:sz w:val="22"/>
          <w:szCs w:val="22"/>
        </w:rPr>
        <w:t>Que, mediante radicados 2-2022-22512 y 2-2022-22516 del 13 de abril de 2022 este despacho informa a las partes de la visita de carácter técnico que se llevará a cabo el 21 de abril de 2022 con el fin de verificar los hechos ordenados en la Resolución No. 2138 del 25 de septiembre de 2019.</w:t>
      </w:r>
    </w:p>
    <w:p w14:paraId="4896E69F" w14:textId="77777777" w:rsidR="003D5452" w:rsidRDefault="003D5452">
      <w:pPr>
        <w:ind w:right="-92"/>
        <w:jc w:val="both"/>
        <w:rPr>
          <w:rFonts w:ascii="Arial" w:eastAsia="Arial" w:hAnsi="Arial" w:cs="Arial"/>
          <w:sz w:val="22"/>
          <w:szCs w:val="22"/>
        </w:rPr>
      </w:pPr>
    </w:p>
    <w:p w14:paraId="67F3B136" w14:textId="4E2B1286" w:rsidR="003D5452" w:rsidRDefault="003E017B" w:rsidP="00010B07">
      <w:pPr>
        <w:ind w:right="-92"/>
        <w:jc w:val="both"/>
        <w:rPr>
          <w:rFonts w:ascii="Arial" w:eastAsia="Arial" w:hAnsi="Arial" w:cs="Arial"/>
          <w:sz w:val="22"/>
          <w:szCs w:val="22"/>
        </w:rPr>
      </w:pPr>
      <w:r>
        <w:rPr>
          <w:rFonts w:ascii="Arial" w:eastAsia="Arial" w:hAnsi="Arial" w:cs="Arial"/>
          <w:sz w:val="22"/>
          <w:szCs w:val="22"/>
        </w:rPr>
        <w:lastRenderedPageBreak/>
        <w:t xml:space="preserve">Que, de la visita de carácter técnico a la cual asistieron las partes se derivó el Informe de </w:t>
      </w:r>
      <w:r w:rsidR="00010B07">
        <w:rPr>
          <w:rFonts w:ascii="Arial" w:eastAsia="Arial" w:hAnsi="Arial" w:cs="Arial"/>
          <w:sz w:val="22"/>
          <w:szCs w:val="22"/>
        </w:rPr>
        <w:t>Verificación</w:t>
      </w:r>
      <w:r>
        <w:rPr>
          <w:rFonts w:ascii="Arial" w:eastAsia="Arial" w:hAnsi="Arial" w:cs="Arial"/>
          <w:sz w:val="22"/>
          <w:szCs w:val="22"/>
        </w:rPr>
        <w:t xml:space="preserve"> de Hechos No. 22-318 del 15 de junio de 2022 que encontró </w:t>
      </w:r>
      <w:r w:rsidR="00010B07">
        <w:rPr>
          <w:rFonts w:ascii="Arial" w:eastAsia="Arial" w:hAnsi="Arial" w:cs="Arial"/>
          <w:sz w:val="22"/>
          <w:szCs w:val="22"/>
        </w:rPr>
        <w:t xml:space="preserve">que los hechos aún persisten. </w:t>
      </w:r>
    </w:p>
    <w:p w14:paraId="1D074440" w14:textId="77777777" w:rsidR="00010B07" w:rsidRDefault="00010B07" w:rsidP="00010B07">
      <w:pPr>
        <w:ind w:right="-92"/>
        <w:jc w:val="both"/>
        <w:rPr>
          <w:rFonts w:ascii="Arial" w:eastAsia="Arial" w:hAnsi="Arial" w:cs="Arial"/>
          <w:sz w:val="22"/>
          <w:szCs w:val="22"/>
        </w:rPr>
      </w:pPr>
    </w:p>
    <w:p w14:paraId="0AE2547D" w14:textId="657274FF" w:rsidR="003D5452" w:rsidRDefault="003E017B">
      <w:pPr>
        <w:ind w:right="-92"/>
        <w:jc w:val="both"/>
        <w:rPr>
          <w:rFonts w:ascii="Arial" w:eastAsia="Arial" w:hAnsi="Arial" w:cs="Arial"/>
          <w:sz w:val="22"/>
          <w:szCs w:val="22"/>
        </w:rPr>
      </w:pPr>
      <w:r>
        <w:rPr>
          <w:rFonts w:ascii="Arial" w:eastAsia="Arial" w:hAnsi="Arial" w:cs="Arial"/>
          <w:sz w:val="22"/>
          <w:szCs w:val="22"/>
        </w:rPr>
        <w:t xml:space="preserve">Que, mediante radicados 2-2023-65844 y 2-2023-65847 de 11 de septiembre de 2023 este despacho traslado del Informe de </w:t>
      </w:r>
      <w:r w:rsidR="00010B07">
        <w:rPr>
          <w:rFonts w:ascii="Arial" w:eastAsia="Arial" w:hAnsi="Arial" w:cs="Arial"/>
          <w:sz w:val="22"/>
          <w:szCs w:val="22"/>
        </w:rPr>
        <w:t>Verificación</w:t>
      </w:r>
      <w:r>
        <w:rPr>
          <w:rFonts w:ascii="Arial" w:eastAsia="Arial" w:hAnsi="Arial" w:cs="Arial"/>
          <w:sz w:val="22"/>
          <w:szCs w:val="22"/>
        </w:rPr>
        <w:t xml:space="preserve"> de Hechos No. 22-318 del 15 de junio de 2022 por un término de diez (10) días</w:t>
      </w:r>
      <w:r w:rsidR="00010B07">
        <w:rPr>
          <w:rFonts w:ascii="Arial" w:eastAsia="Arial" w:hAnsi="Arial" w:cs="Arial"/>
          <w:sz w:val="22"/>
          <w:szCs w:val="22"/>
        </w:rPr>
        <w:t xml:space="preserve">, a las partes para que realizaran las manifestaciones que a bien consideren. </w:t>
      </w:r>
    </w:p>
    <w:p w14:paraId="27CFFA28" w14:textId="77777777" w:rsidR="003D5452" w:rsidRDefault="003D5452">
      <w:pPr>
        <w:ind w:right="-92"/>
        <w:jc w:val="both"/>
        <w:rPr>
          <w:rFonts w:ascii="Arial" w:eastAsia="Arial" w:hAnsi="Arial" w:cs="Arial"/>
          <w:sz w:val="22"/>
          <w:szCs w:val="22"/>
        </w:rPr>
      </w:pPr>
    </w:p>
    <w:p w14:paraId="2801B5DB" w14:textId="0E21CDE6" w:rsidR="003D5452" w:rsidRPr="00010B07" w:rsidRDefault="003E017B" w:rsidP="00010B07">
      <w:pPr>
        <w:ind w:right="-92"/>
        <w:jc w:val="both"/>
        <w:rPr>
          <w:rFonts w:ascii="Arial" w:eastAsia="Arial" w:hAnsi="Arial" w:cs="Arial"/>
          <w:sz w:val="22"/>
          <w:szCs w:val="22"/>
        </w:rPr>
      </w:pPr>
      <w:r>
        <w:rPr>
          <w:rFonts w:ascii="Arial" w:eastAsia="Arial" w:hAnsi="Arial" w:cs="Arial"/>
          <w:sz w:val="22"/>
          <w:szCs w:val="22"/>
        </w:rPr>
        <w:t xml:space="preserve">Que, </w:t>
      </w:r>
      <w:r w:rsidR="00010B07">
        <w:rPr>
          <w:rFonts w:ascii="Arial" w:eastAsia="Arial" w:hAnsi="Arial" w:cs="Arial"/>
          <w:sz w:val="22"/>
          <w:szCs w:val="22"/>
        </w:rPr>
        <w:t xml:space="preserve">probado el incumplimiento, </w:t>
      </w:r>
      <w:r>
        <w:rPr>
          <w:rFonts w:ascii="Arial" w:eastAsia="Arial" w:hAnsi="Arial" w:cs="Arial"/>
          <w:sz w:val="22"/>
          <w:szCs w:val="22"/>
        </w:rPr>
        <w:t xml:space="preserve">mediante </w:t>
      </w:r>
      <w:r w:rsidR="00010B07">
        <w:rPr>
          <w:rFonts w:ascii="Arial" w:eastAsia="Arial" w:hAnsi="Arial" w:cs="Arial"/>
          <w:sz w:val="22"/>
          <w:szCs w:val="22"/>
        </w:rPr>
        <w:t>Resolución</w:t>
      </w:r>
      <w:r>
        <w:rPr>
          <w:rFonts w:ascii="Arial" w:eastAsia="Arial" w:hAnsi="Arial" w:cs="Arial"/>
          <w:sz w:val="22"/>
          <w:szCs w:val="22"/>
        </w:rPr>
        <w:t xml:space="preserve"> No. 2596 del 26 de octubre de 2023 </w:t>
      </w:r>
      <w:r w:rsidRPr="00010B07">
        <w:rPr>
          <w:rFonts w:ascii="Arial" w:eastAsia="Arial" w:hAnsi="Arial" w:cs="Arial"/>
          <w:i/>
          <w:iCs/>
          <w:sz w:val="22"/>
          <w:szCs w:val="22"/>
        </w:rPr>
        <w:t>“Por la cual se impone una multa por incumplimiento de una orden”</w:t>
      </w:r>
      <w:r w:rsidRPr="00010B07">
        <w:rPr>
          <w:rFonts w:ascii="Arial" w:eastAsia="Arial" w:hAnsi="Arial" w:cs="Arial"/>
          <w:sz w:val="22"/>
          <w:szCs w:val="22"/>
        </w:rPr>
        <w:t xml:space="preserve"> este despacho resolvió Imponer a la sociedad enajenadora URBANIZADORA MARVAL S.A.S, identificada con NIT 830.012.053-3, representada legalmente por el señor RAFAEL AUGUSTO MARIN VALENCIA (o quien haga sus veces), multa por valor de VEINTITRES MIL PESOS M/CTE ($23.000), que indexados corresponden a la suma de CUATRO MILLONES QUINIENTOS TRECE MIL PESOS M/CTE (</w:t>
      </w:r>
      <w:r w:rsidR="00010B07">
        <w:rPr>
          <w:rFonts w:ascii="Arial" w:eastAsia="Arial" w:hAnsi="Arial" w:cs="Arial"/>
          <w:sz w:val="22"/>
          <w:szCs w:val="22"/>
        </w:rPr>
        <w:t>$</w:t>
      </w:r>
      <w:r w:rsidRPr="00010B07">
        <w:rPr>
          <w:rFonts w:ascii="Arial" w:eastAsia="Arial" w:hAnsi="Arial" w:cs="Arial"/>
          <w:sz w:val="22"/>
          <w:szCs w:val="22"/>
        </w:rPr>
        <w:t>4.513.000).</w:t>
      </w:r>
    </w:p>
    <w:p w14:paraId="64AA498E" w14:textId="77777777" w:rsidR="003D5452" w:rsidRPr="00010B07" w:rsidRDefault="003D5452">
      <w:pPr>
        <w:ind w:right="-92"/>
        <w:jc w:val="both"/>
        <w:rPr>
          <w:rFonts w:ascii="Arial" w:eastAsia="Arial" w:hAnsi="Arial" w:cs="Arial"/>
          <w:sz w:val="22"/>
          <w:szCs w:val="22"/>
        </w:rPr>
      </w:pPr>
    </w:p>
    <w:p w14:paraId="73D4B2DC" w14:textId="150FD5E8" w:rsidR="003D5452" w:rsidRDefault="003E017B">
      <w:pPr>
        <w:ind w:right="-92"/>
        <w:jc w:val="both"/>
        <w:rPr>
          <w:rFonts w:ascii="Arial" w:eastAsia="Arial" w:hAnsi="Arial" w:cs="Arial"/>
          <w:sz w:val="22"/>
          <w:szCs w:val="22"/>
        </w:rPr>
      </w:pPr>
      <w:r>
        <w:rPr>
          <w:rFonts w:ascii="Arial" w:eastAsia="Arial" w:hAnsi="Arial" w:cs="Arial"/>
          <w:sz w:val="22"/>
          <w:szCs w:val="22"/>
        </w:rPr>
        <w:t>Que, mediante radicado 1-2023-47582 del 29 de noviembre de 2023 la sociedad enajenadora interpone recurso de reposición y en subsidio apelación en contra de la Resolución No. 2596 del 26 de octubre de 2023</w:t>
      </w:r>
      <w:r w:rsidR="00010B07">
        <w:rPr>
          <w:rFonts w:ascii="Arial" w:eastAsia="Arial" w:hAnsi="Arial" w:cs="Arial"/>
          <w:sz w:val="22"/>
          <w:szCs w:val="22"/>
        </w:rPr>
        <w:t xml:space="preserve"> </w:t>
      </w:r>
      <w:r w:rsidR="00010B07" w:rsidRPr="00010B07">
        <w:rPr>
          <w:rFonts w:ascii="Arial" w:eastAsia="Arial" w:hAnsi="Arial" w:cs="Arial"/>
          <w:i/>
          <w:iCs/>
          <w:sz w:val="22"/>
          <w:szCs w:val="22"/>
        </w:rPr>
        <w:t>“Por la cual se impone una multa por incumplimiento de una orden”</w:t>
      </w:r>
    </w:p>
    <w:p w14:paraId="41DE9FCD" w14:textId="77777777" w:rsidR="003D5452" w:rsidRDefault="003D5452">
      <w:pPr>
        <w:ind w:right="-92"/>
        <w:jc w:val="both"/>
        <w:rPr>
          <w:rFonts w:ascii="Arial" w:eastAsia="Arial" w:hAnsi="Arial" w:cs="Arial"/>
          <w:sz w:val="22"/>
          <w:szCs w:val="22"/>
        </w:rPr>
      </w:pPr>
    </w:p>
    <w:p w14:paraId="4851AFF0" w14:textId="20900B4D" w:rsidR="003D5452" w:rsidRDefault="003E017B">
      <w:pPr>
        <w:ind w:right="-92"/>
        <w:jc w:val="both"/>
        <w:rPr>
          <w:rFonts w:ascii="Arial" w:eastAsia="Arial" w:hAnsi="Arial" w:cs="Arial"/>
          <w:sz w:val="22"/>
          <w:szCs w:val="22"/>
        </w:rPr>
      </w:pPr>
      <w:r>
        <w:rPr>
          <w:rFonts w:ascii="Arial" w:eastAsia="Arial" w:hAnsi="Arial" w:cs="Arial"/>
          <w:sz w:val="22"/>
          <w:szCs w:val="22"/>
        </w:rPr>
        <w:t>Que, mediante Resolución No. 122 del 22 de febrero de 2024 este despacho resuelve recurso de reposición decidiendo no reponer. Así mismo, mediante Resolución 1374 del 15 de noviembre de 2024</w:t>
      </w:r>
      <w:r w:rsidR="00010B07">
        <w:rPr>
          <w:rFonts w:ascii="Arial" w:eastAsia="Arial" w:hAnsi="Arial" w:cs="Arial"/>
          <w:sz w:val="22"/>
          <w:szCs w:val="22"/>
        </w:rPr>
        <w:t>,</w:t>
      </w:r>
      <w:r>
        <w:rPr>
          <w:rFonts w:ascii="Arial" w:eastAsia="Arial" w:hAnsi="Arial" w:cs="Arial"/>
          <w:sz w:val="22"/>
          <w:szCs w:val="22"/>
        </w:rPr>
        <w:t xml:space="preserve"> se resuelve recurso de apelación decidiendo confirmar en todas sus partes la Resolución </w:t>
      </w:r>
      <w:r w:rsidR="00010B07">
        <w:rPr>
          <w:rFonts w:ascii="Arial" w:eastAsia="Arial" w:hAnsi="Arial" w:cs="Arial"/>
          <w:sz w:val="22"/>
          <w:szCs w:val="22"/>
        </w:rPr>
        <w:t xml:space="preserve">recurrida, razón por la cual, </w:t>
      </w:r>
      <w:r>
        <w:rPr>
          <w:rFonts w:ascii="Arial" w:eastAsia="Arial" w:hAnsi="Arial" w:cs="Arial"/>
          <w:sz w:val="22"/>
          <w:szCs w:val="22"/>
        </w:rPr>
        <w:t>la Resolución No. 2596 del 26 de octubre de 2023 quedó debidamente ejecutoriada el veinticinco (25) de noviembre de 2024.</w:t>
      </w:r>
    </w:p>
    <w:p w14:paraId="00D77663" w14:textId="77777777" w:rsidR="003D5452" w:rsidRDefault="003D5452">
      <w:pPr>
        <w:ind w:right="-92"/>
        <w:jc w:val="both"/>
        <w:rPr>
          <w:rFonts w:ascii="Arial" w:eastAsia="Arial" w:hAnsi="Arial" w:cs="Arial"/>
          <w:sz w:val="22"/>
          <w:szCs w:val="22"/>
        </w:rPr>
      </w:pPr>
    </w:p>
    <w:p w14:paraId="64E57287" w14:textId="4ECAED80" w:rsidR="003D5452" w:rsidRDefault="003E017B">
      <w:pPr>
        <w:ind w:right="-92"/>
        <w:jc w:val="both"/>
        <w:rPr>
          <w:rFonts w:ascii="Arial" w:eastAsia="Arial" w:hAnsi="Arial" w:cs="Arial"/>
          <w:b/>
          <w:bCs/>
          <w:i/>
          <w:iCs/>
          <w:sz w:val="22"/>
          <w:szCs w:val="22"/>
        </w:rPr>
      </w:pPr>
      <w:r>
        <w:rPr>
          <w:rFonts w:ascii="Arial" w:eastAsia="Arial" w:hAnsi="Arial" w:cs="Arial"/>
          <w:sz w:val="22"/>
          <w:szCs w:val="22"/>
        </w:rPr>
        <w:t xml:space="preserve">Que, mediante radicados 2-2025-61427 y 2-2025-61994 del 01 </w:t>
      </w:r>
      <w:r w:rsidR="00010B07">
        <w:rPr>
          <w:rFonts w:ascii="Arial" w:eastAsia="Arial" w:hAnsi="Arial" w:cs="Arial"/>
          <w:sz w:val="22"/>
          <w:szCs w:val="22"/>
        </w:rPr>
        <w:t xml:space="preserve">y 02 </w:t>
      </w:r>
      <w:r>
        <w:rPr>
          <w:rFonts w:ascii="Arial" w:eastAsia="Arial" w:hAnsi="Arial" w:cs="Arial"/>
          <w:sz w:val="22"/>
          <w:szCs w:val="22"/>
        </w:rPr>
        <w:t xml:space="preserve">de octubre de 2025 </w:t>
      </w:r>
      <w:r w:rsidR="00010B07">
        <w:rPr>
          <w:rFonts w:ascii="Arial" w:eastAsia="Arial" w:hAnsi="Arial" w:cs="Arial"/>
          <w:sz w:val="22"/>
          <w:szCs w:val="22"/>
        </w:rPr>
        <w:t xml:space="preserve">respectivamente, </w:t>
      </w:r>
      <w:r>
        <w:rPr>
          <w:rFonts w:ascii="Arial" w:eastAsia="Arial" w:hAnsi="Arial" w:cs="Arial"/>
          <w:sz w:val="22"/>
          <w:szCs w:val="22"/>
        </w:rPr>
        <w:t xml:space="preserve">este despacho requiera a las partes para que dentro de un término de quince (15) días acredite el cumplimiento de los hechos ordenados en la </w:t>
      </w:r>
      <w:r w:rsidR="00010B07">
        <w:rPr>
          <w:rFonts w:ascii="Arial" w:eastAsia="Arial" w:hAnsi="Arial" w:cs="Arial"/>
          <w:sz w:val="22"/>
          <w:szCs w:val="22"/>
        </w:rPr>
        <w:t>Resolución</w:t>
      </w:r>
      <w:r>
        <w:rPr>
          <w:rFonts w:ascii="Arial" w:eastAsia="Arial" w:hAnsi="Arial" w:cs="Arial"/>
          <w:sz w:val="22"/>
          <w:szCs w:val="22"/>
        </w:rPr>
        <w:t xml:space="preserve"> No.2138 del 25 de septiembre de 2019</w:t>
      </w:r>
      <w:r w:rsidR="00F34353">
        <w:rPr>
          <w:rFonts w:ascii="Arial" w:eastAsia="Arial" w:hAnsi="Arial" w:cs="Arial"/>
          <w:sz w:val="22"/>
          <w:szCs w:val="22"/>
        </w:rPr>
        <w:t xml:space="preserve"> "</w:t>
      </w:r>
      <w:r w:rsidR="00F34353">
        <w:rPr>
          <w:rFonts w:ascii="Arial" w:eastAsia="Arial" w:hAnsi="Arial" w:cs="Arial"/>
          <w:i/>
          <w:iCs/>
          <w:sz w:val="22"/>
          <w:szCs w:val="22"/>
        </w:rPr>
        <w:t>Por la cual se impone una sanción y se imparte una orden</w:t>
      </w:r>
      <w:r w:rsidR="00F34353">
        <w:rPr>
          <w:rFonts w:ascii="Arial" w:eastAsia="Arial" w:hAnsi="Arial" w:cs="Arial"/>
          <w:sz w:val="22"/>
          <w:szCs w:val="22"/>
        </w:rPr>
        <w:t>".</w:t>
      </w:r>
      <w:r>
        <w:rPr>
          <w:rFonts w:ascii="Arial" w:eastAsia="Arial" w:hAnsi="Arial" w:cs="Arial"/>
          <w:b/>
          <w:bCs/>
          <w:i/>
          <w:iCs/>
          <w:sz w:val="22"/>
          <w:szCs w:val="22"/>
        </w:rPr>
        <w:t xml:space="preserve"> </w:t>
      </w:r>
    </w:p>
    <w:p w14:paraId="51679895" w14:textId="77777777" w:rsidR="003D5452" w:rsidRDefault="003D5452">
      <w:pPr>
        <w:ind w:right="-92"/>
        <w:jc w:val="both"/>
        <w:rPr>
          <w:rFonts w:ascii="Arial" w:eastAsia="Arial" w:hAnsi="Arial" w:cs="Arial"/>
          <w:sz w:val="22"/>
          <w:szCs w:val="22"/>
        </w:rPr>
      </w:pPr>
    </w:p>
    <w:p w14:paraId="0E5574E2" w14:textId="77777777" w:rsidR="003D5452" w:rsidRDefault="003E017B">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352 del 28 de agosto de 2020, de conformidad a lo expuesto en el inciso segundo, numeral 9° del artículo 2° del Decreto Ley 078 de 1987.</w:t>
      </w:r>
    </w:p>
    <w:p w14:paraId="7F71B307" w14:textId="77777777" w:rsidR="003D5452" w:rsidRDefault="003D5452">
      <w:pPr>
        <w:pBdr>
          <w:top w:val="nil"/>
          <w:left w:val="nil"/>
          <w:bottom w:val="nil"/>
          <w:right w:val="nil"/>
          <w:between w:val="nil"/>
        </w:pBdr>
        <w:ind w:left="-284" w:right="-92"/>
        <w:jc w:val="center"/>
        <w:rPr>
          <w:rFonts w:ascii="Arial" w:eastAsia="Arial" w:hAnsi="Arial" w:cs="Arial"/>
          <w:b/>
          <w:bCs/>
          <w:sz w:val="22"/>
          <w:szCs w:val="22"/>
        </w:rPr>
      </w:pPr>
    </w:p>
    <w:p w14:paraId="47EE04D6" w14:textId="77777777" w:rsidR="003D5452" w:rsidRDefault="003E017B">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113C51CC" w14:textId="77777777" w:rsidR="003D5452" w:rsidRDefault="003D5452">
      <w:pPr>
        <w:pBdr>
          <w:top w:val="nil"/>
          <w:left w:val="nil"/>
          <w:bottom w:val="nil"/>
          <w:right w:val="nil"/>
          <w:between w:val="nil"/>
        </w:pBdr>
        <w:ind w:left="-284" w:right="-92"/>
        <w:jc w:val="center"/>
        <w:rPr>
          <w:rFonts w:ascii="Arial" w:eastAsia="Arial" w:hAnsi="Arial" w:cs="Arial"/>
          <w:b/>
          <w:bCs/>
          <w:sz w:val="22"/>
          <w:szCs w:val="22"/>
        </w:rPr>
      </w:pPr>
    </w:p>
    <w:p w14:paraId="521AC099" w14:textId="77777777" w:rsidR="003D5452" w:rsidRDefault="003E017B">
      <w:pPr>
        <w:ind w:right="-92"/>
        <w:jc w:val="both"/>
        <w:rPr>
          <w:rFonts w:ascii="Arial" w:eastAsia="Arial" w:hAnsi="Arial" w:cs="Arial"/>
          <w:sz w:val="22"/>
          <w:szCs w:val="22"/>
        </w:rPr>
      </w:pPr>
      <w:r>
        <w:rPr>
          <w:rFonts w:ascii="Arial" w:eastAsia="Arial" w:hAnsi="Arial" w:cs="Arial"/>
          <w:sz w:val="22"/>
          <w:szCs w:val="22"/>
        </w:rPr>
        <w:t xml:space="preserve">Debe esta Dirección partir de que la función de inspección, vigilancia y control sobre la actividad de enajenación de inmuebles destinados a vivienda, de conformidad con las Leyes 66 de 1968, 388 de 1997, Decretos Leyes 2610 de 1979, 078 de 1987 y demás normas </w:t>
      </w:r>
      <w:r>
        <w:rPr>
          <w:rFonts w:ascii="Arial" w:eastAsia="Arial" w:hAnsi="Arial" w:cs="Arial"/>
          <w:sz w:val="22"/>
          <w:szCs w:val="22"/>
        </w:rPr>
        <w:lastRenderedPageBreak/>
        <w:t>concordantes, se ejerce sobre las personas naturales o jurídicas que desarrollen la actividad de enajenación de vivienda en el Distrito, con el propósito de resguardar el orden social y amparar la observancia de la ley.</w:t>
      </w:r>
    </w:p>
    <w:p w14:paraId="675B7DFA" w14:textId="77777777" w:rsidR="003D5452" w:rsidRDefault="003D5452">
      <w:pPr>
        <w:ind w:right="-92"/>
        <w:jc w:val="both"/>
        <w:rPr>
          <w:rFonts w:ascii="Arial" w:eastAsia="Arial" w:hAnsi="Arial" w:cs="Arial"/>
          <w:sz w:val="22"/>
          <w:szCs w:val="22"/>
        </w:rPr>
      </w:pPr>
    </w:p>
    <w:p w14:paraId="3BFCDC34" w14:textId="36FDA681" w:rsidR="003D5452" w:rsidRDefault="003E017B">
      <w:pPr>
        <w:jc w:val="both"/>
        <w:rPr>
          <w:rFonts w:ascii="Arial" w:eastAsia="Arial" w:hAnsi="Arial" w:cs="Arial"/>
          <w:sz w:val="22"/>
          <w:szCs w:val="22"/>
        </w:rPr>
      </w:pPr>
      <w:r>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2138 del 25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URBANIZADORA MARVAL S.A.S cual debía ser cumplida dentro del plazo fijado contado a partir de la ejecutoria de esta.</w:t>
      </w:r>
    </w:p>
    <w:p w14:paraId="6E987E72" w14:textId="77777777" w:rsidR="003D5452" w:rsidRDefault="003D5452">
      <w:pPr>
        <w:ind w:right="-92"/>
        <w:jc w:val="both"/>
        <w:rPr>
          <w:rFonts w:ascii="Arial" w:eastAsia="Arial" w:hAnsi="Arial" w:cs="Arial"/>
          <w:sz w:val="22"/>
          <w:szCs w:val="22"/>
        </w:rPr>
      </w:pPr>
    </w:p>
    <w:p w14:paraId="6B37C729" w14:textId="77777777" w:rsidR="003D5452" w:rsidRDefault="003E017B">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55E05186" w14:textId="77777777" w:rsidR="003D5452" w:rsidRDefault="003D5452">
      <w:pPr>
        <w:ind w:right="-92"/>
        <w:jc w:val="both"/>
        <w:rPr>
          <w:rFonts w:ascii="Arial" w:eastAsia="Arial" w:hAnsi="Arial" w:cs="Arial"/>
          <w:sz w:val="22"/>
          <w:szCs w:val="22"/>
        </w:rPr>
      </w:pPr>
    </w:p>
    <w:p w14:paraId="19A47599" w14:textId="77777777" w:rsidR="003D5452" w:rsidRDefault="003E017B">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54021FB" w14:textId="77777777" w:rsidR="003D5452" w:rsidRDefault="003D5452">
      <w:pPr>
        <w:pBdr>
          <w:top w:val="nil"/>
          <w:left w:val="nil"/>
          <w:bottom w:val="nil"/>
          <w:right w:val="nil"/>
          <w:between w:val="nil"/>
        </w:pBdr>
        <w:ind w:left="720" w:right="-92"/>
        <w:jc w:val="both"/>
        <w:rPr>
          <w:rFonts w:ascii="Arial" w:eastAsia="Arial" w:hAnsi="Arial" w:cs="Arial"/>
          <w:sz w:val="22"/>
          <w:szCs w:val="22"/>
        </w:rPr>
      </w:pPr>
    </w:p>
    <w:p w14:paraId="18648B41" w14:textId="3BE97536" w:rsidR="003D5452" w:rsidRDefault="003E017B">
      <w:pPr>
        <w:jc w:val="both"/>
        <w:rPr>
          <w:rFonts w:ascii="Arial" w:eastAsia="Arial" w:hAnsi="Arial" w:cs="Arial"/>
          <w:sz w:val="22"/>
          <w:szCs w:val="22"/>
        </w:rPr>
      </w:pPr>
      <w:bookmarkStart w:id="5" w:name="_heading=h.1t3h5sf" w:colFirst="0" w:colLast="0"/>
      <w:bookmarkEnd w:id="5"/>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2138 del 25 de septiembre de 2019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643EF3C2" w14:textId="77777777" w:rsidR="003D5452" w:rsidRDefault="003D5452">
      <w:pPr>
        <w:jc w:val="both"/>
        <w:rPr>
          <w:rFonts w:ascii="Arial" w:eastAsia="Arial" w:hAnsi="Arial" w:cs="Arial"/>
          <w:sz w:val="22"/>
          <w:szCs w:val="22"/>
        </w:rPr>
      </w:pPr>
    </w:p>
    <w:p w14:paraId="5E1A4DB0" w14:textId="77777777" w:rsidR="003D5452" w:rsidRDefault="003E017B">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32234E93" w14:textId="77777777" w:rsidR="003D5452" w:rsidRDefault="003D5452">
      <w:pPr>
        <w:ind w:right="50"/>
        <w:jc w:val="both"/>
        <w:rPr>
          <w:rFonts w:ascii="Arial" w:eastAsia="Arial" w:hAnsi="Arial" w:cs="Arial"/>
          <w:sz w:val="22"/>
          <w:szCs w:val="22"/>
        </w:rPr>
      </w:pPr>
    </w:p>
    <w:p w14:paraId="0F8A3DFD" w14:textId="77777777" w:rsidR="003D5452" w:rsidRDefault="003E017B">
      <w:pPr>
        <w:ind w:right="50"/>
        <w:jc w:val="both"/>
        <w:rPr>
          <w:rFonts w:ascii="Arial" w:eastAsia="Arial" w:hAnsi="Arial" w:cs="Arial"/>
          <w:sz w:val="22"/>
          <w:szCs w:val="22"/>
        </w:rPr>
      </w:pPr>
      <w:r>
        <w:rPr>
          <w:rFonts w:ascii="Arial" w:eastAsia="Arial" w:hAnsi="Arial" w:cs="Arial"/>
          <w:sz w:val="22"/>
          <w:szCs w:val="22"/>
        </w:rPr>
        <w:t>Dentro de la actuación administrativa y las pruebas que reposan en el expediente, se tiene que la sociedad enajenadora URBANIZADORA MARVAL S.A.S, contaba con un término de tres (3) meses para realizar los trabajos tendientes a solucionar en forma definitiva los hechos que afectan las</w:t>
      </w:r>
      <w:r>
        <w:rPr>
          <w:rFonts w:ascii="Arial" w:eastAsia="Arial" w:hAnsi="Arial" w:cs="Arial"/>
          <w:color w:val="FF9900"/>
          <w:sz w:val="22"/>
          <w:szCs w:val="22"/>
        </w:rPr>
        <w:t xml:space="preserve"> </w:t>
      </w:r>
      <w:r>
        <w:rPr>
          <w:rFonts w:ascii="Arial" w:eastAsia="Arial" w:hAnsi="Arial" w:cs="Arial"/>
          <w:sz w:val="22"/>
          <w:szCs w:val="22"/>
        </w:rPr>
        <w:t xml:space="preserve">áreas </w:t>
      </w:r>
      <w:r>
        <w:rPr>
          <w:rFonts w:ascii="Arial" w:eastAsia="Arial" w:hAnsi="Arial" w:cs="Arial"/>
          <w:sz w:val="22"/>
          <w:szCs w:val="22"/>
          <w:highlight w:val="white"/>
        </w:rPr>
        <w:t>privadas del Apartamento 430 de la Torre 10 del</w:t>
      </w:r>
      <w:r>
        <w:rPr>
          <w:rFonts w:ascii="Arial" w:eastAsia="Arial" w:hAnsi="Arial" w:cs="Arial"/>
          <w:sz w:val="22"/>
          <w:szCs w:val="22"/>
        </w:rPr>
        <w:t xml:space="preserve"> proyecto de vivienda AGRUPACIÓN RESIDENCIAL PRADERA DE SAN CARLOS - PROPIEDAD HORIZONTAL.</w:t>
      </w:r>
    </w:p>
    <w:p w14:paraId="4578CB8E" w14:textId="77777777" w:rsidR="003D5452" w:rsidRDefault="003D5452">
      <w:pPr>
        <w:ind w:right="50"/>
        <w:jc w:val="both"/>
        <w:rPr>
          <w:rFonts w:ascii="Arial" w:eastAsia="Arial" w:hAnsi="Arial" w:cs="Arial"/>
          <w:sz w:val="22"/>
          <w:szCs w:val="22"/>
        </w:rPr>
      </w:pPr>
    </w:p>
    <w:p w14:paraId="4625ECB7" w14:textId="77777777" w:rsidR="003D5452" w:rsidRDefault="003E017B">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10 días, siguientes al cumplimiento del término otorgado para el cumplimiento de la orden de hacer, para acreditar </w:t>
      </w:r>
      <w:r>
        <w:rPr>
          <w:rFonts w:ascii="Arial" w:eastAsia="Arial" w:hAnsi="Arial" w:cs="Arial"/>
          <w:sz w:val="22"/>
          <w:szCs w:val="22"/>
        </w:rPr>
        <w:lastRenderedPageBreak/>
        <w:t>ante este Despacho la realización de las labores de corrección sobre los citados hechos, tal como lo dispone el artículo tercero de la Resolución No. 2138 del 25 de septiembre de 2019.</w:t>
      </w:r>
    </w:p>
    <w:p w14:paraId="37F6F210" w14:textId="77777777" w:rsidR="003D5452" w:rsidRDefault="003D5452">
      <w:pPr>
        <w:jc w:val="both"/>
        <w:rPr>
          <w:rFonts w:ascii="Arial" w:eastAsia="Arial" w:hAnsi="Arial" w:cs="Arial"/>
          <w:sz w:val="22"/>
          <w:szCs w:val="22"/>
        </w:rPr>
      </w:pPr>
    </w:p>
    <w:p w14:paraId="5DB65B33" w14:textId="3C02FD23" w:rsidR="003D5452" w:rsidRDefault="003E017B">
      <w:pPr>
        <w:ind w:right="-92"/>
        <w:jc w:val="both"/>
        <w:rPr>
          <w:rFonts w:ascii="Arial" w:eastAsia="Arial" w:hAnsi="Arial" w:cs="Arial"/>
          <w:sz w:val="22"/>
          <w:szCs w:val="22"/>
        </w:rPr>
      </w:pPr>
      <w:r>
        <w:rPr>
          <w:rFonts w:ascii="Arial" w:eastAsia="Arial" w:hAnsi="Arial" w:cs="Arial"/>
          <w:sz w:val="22"/>
          <w:szCs w:val="22"/>
        </w:rPr>
        <w:t xml:space="preserve">Del análisis del material probatorio, en especial del Informe de </w:t>
      </w:r>
      <w:r w:rsidR="00F34353">
        <w:rPr>
          <w:rFonts w:ascii="Arial" w:eastAsia="Arial" w:hAnsi="Arial" w:cs="Arial"/>
          <w:sz w:val="22"/>
          <w:szCs w:val="22"/>
        </w:rPr>
        <w:t>Verificación</w:t>
      </w:r>
      <w:r>
        <w:rPr>
          <w:rFonts w:ascii="Arial" w:eastAsia="Arial" w:hAnsi="Arial" w:cs="Arial"/>
          <w:sz w:val="22"/>
          <w:szCs w:val="22"/>
        </w:rPr>
        <w:t xml:space="preserve"> de Hechos No. 22-318 del 15 de junio de 2022, se evidencia que ninguna deficiencia fue intervenida, por ende, persisten afectaciones relacionadas con la fachada y muros del inmueble. </w:t>
      </w:r>
    </w:p>
    <w:p w14:paraId="37D5A2A6" w14:textId="77777777" w:rsidR="003D5452" w:rsidRDefault="003D5452">
      <w:pPr>
        <w:ind w:right="-92"/>
        <w:jc w:val="both"/>
        <w:rPr>
          <w:rFonts w:ascii="Arial" w:eastAsia="Arial" w:hAnsi="Arial" w:cs="Arial"/>
          <w:sz w:val="22"/>
          <w:szCs w:val="22"/>
        </w:rPr>
      </w:pPr>
    </w:p>
    <w:p w14:paraId="19CD7C18" w14:textId="605B6660" w:rsidR="003D5452" w:rsidRDefault="003E017B">
      <w:pPr>
        <w:ind w:right="-92"/>
        <w:jc w:val="both"/>
        <w:rPr>
          <w:rFonts w:ascii="Arial" w:eastAsia="Arial" w:hAnsi="Arial" w:cs="Arial"/>
          <w:sz w:val="22"/>
          <w:szCs w:val="22"/>
        </w:rPr>
      </w:pPr>
      <w:r>
        <w:rPr>
          <w:rFonts w:ascii="Arial" w:eastAsia="Arial" w:hAnsi="Arial" w:cs="Arial"/>
          <w:sz w:val="22"/>
          <w:szCs w:val="22"/>
        </w:rPr>
        <w:t xml:space="preserve">Por todo esto, no obra prueba idónea que permita tener por cumplida en su totalidad la orden impartida en la Resolución No. 2138 del 25 de septiembre de 2019, razón por la cual se impuso sanción mediante </w:t>
      </w:r>
      <w:r w:rsidR="00F34353">
        <w:rPr>
          <w:rFonts w:ascii="Arial" w:eastAsia="Arial" w:hAnsi="Arial" w:cs="Arial"/>
          <w:sz w:val="22"/>
          <w:szCs w:val="22"/>
        </w:rPr>
        <w:t>Resolución</w:t>
      </w:r>
      <w:r>
        <w:rPr>
          <w:rFonts w:ascii="Arial" w:eastAsia="Arial" w:hAnsi="Arial" w:cs="Arial"/>
          <w:sz w:val="22"/>
          <w:szCs w:val="22"/>
        </w:rPr>
        <w:t xml:space="preserve"> No. 2596 del 26 de octubre de 2023 </w:t>
      </w:r>
      <w:r>
        <w:rPr>
          <w:rFonts w:ascii="Arial" w:eastAsia="Arial" w:hAnsi="Arial" w:cs="Arial"/>
          <w:i/>
          <w:iCs/>
          <w:sz w:val="22"/>
          <w:szCs w:val="22"/>
        </w:rPr>
        <w:t>“Por la cual se impone una multa por incumplimiento de una orden”</w:t>
      </w:r>
      <w:r>
        <w:rPr>
          <w:rFonts w:ascii="Arial" w:eastAsia="Arial" w:hAnsi="Arial" w:cs="Arial"/>
          <w:sz w:val="22"/>
          <w:szCs w:val="22"/>
        </w:rPr>
        <w:t>, debidamente ejecutoriada.</w:t>
      </w:r>
    </w:p>
    <w:p w14:paraId="54070B91" w14:textId="7FE49AAA" w:rsidR="00F34353" w:rsidRDefault="00F34353" w:rsidP="00F34353">
      <w:pPr>
        <w:spacing w:before="240" w:after="240"/>
        <w:jc w:val="both"/>
        <w:rPr>
          <w:rFonts w:ascii="Arial" w:eastAsia="Arial" w:hAnsi="Arial" w:cs="Arial"/>
          <w:sz w:val="22"/>
          <w:szCs w:val="22"/>
        </w:rPr>
      </w:pPr>
      <w:r>
        <w:rPr>
          <w:rFonts w:ascii="Arial" w:eastAsia="Arial" w:hAnsi="Arial" w:cs="Arial"/>
          <w:sz w:val="22"/>
          <w:szCs w:val="22"/>
        </w:rPr>
        <w:t>Adicionalmente, una vez impuesta la sanción por incumplimiento de la orden, este Despacho requirió nuevamente el cumplimiento de las obligaciones pendientes mediante radicados No.2-2025-61427 y 2-2025-61994 del 01 y 02 de octubre de 2025 respectivamente, sin que a la fecha se haya acreditado su cumplimiento integral.</w:t>
      </w:r>
    </w:p>
    <w:p w14:paraId="58ED6805" w14:textId="77777777" w:rsidR="003D5452" w:rsidRDefault="003E017B">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26BC773D" w14:textId="77777777" w:rsidR="003D5452" w:rsidRDefault="003D5452">
      <w:pPr>
        <w:jc w:val="both"/>
        <w:rPr>
          <w:rFonts w:ascii="Arial" w:eastAsia="Arial" w:hAnsi="Arial" w:cs="Arial"/>
          <w:sz w:val="22"/>
          <w:szCs w:val="22"/>
        </w:rPr>
      </w:pPr>
    </w:p>
    <w:p w14:paraId="27371676" w14:textId="77777777" w:rsidR="003D5452" w:rsidRDefault="003E017B">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2138 del 25 de septiembre de 2019,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w:t>
      </w:r>
      <w:r>
        <w:rPr>
          <w:rFonts w:ascii="Arial" w:eastAsia="Arial" w:hAnsi="Arial" w:cs="Arial"/>
          <w:sz w:val="22"/>
          <w:szCs w:val="22"/>
          <w:highlight w:val="white"/>
        </w:rPr>
        <w:t xml:space="preserve"> </w:t>
      </w:r>
      <w:r>
        <w:rPr>
          <w:rFonts w:ascii="Arial" w:eastAsia="Arial" w:hAnsi="Arial" w:cs="Arial"/>
          <w:color w:val="000000"/>
          <w:sz w:val="22"/>
          <w:szCs w:val="22"/>
          <w:highlight w:val="white"/>
        </w:rPr>
        <w:t>167 del Código General del proceso, al señalar que les corresponde a las partes probar el supuesto de hecho de las normas que consagran el efecto jurídico que ellas persiguen:</w:t>
      </w:r>
    </w:p>
    <w:p w14:paraId="0765624B" w14:textId="77777777" w:rsidR="003D5452" w:rsidRDefault="003D5452">
      <w:pPr>
        <w:jc w:val="both"/>
        <w:rPr>
          <w:rFonts w:ascii="Arial" w:eastAsia="Arial" w:hAnsi="Arial" w:cs="Arial"/>
          <w:sz w:val="22"/>
          <w:szCs w:val="22"/>
          <w:highlight w:val="white"/>
        </w:rPr>
      </w:pPr>
    </w:p>
    <w:p w14:paraId="57789E47"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495CEB20"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CB50298"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17313E23"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729920A"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lastRenderedPageBreak/>
        <w:t>Cuando el juez adopte esta decisión, que será susceptible de recurso, otorgará a la parte correspondiente el término necesario para aportar o solicitar la respectiva prueba, la cual se someterá a las reglas de contradicción previstas en este código.</w:t>
      </w:r>
    </w:p>
    <w:p w14:paraId="70D474DA"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2193CCA1" w14:textId="77777777" w:rsidR="003D5452" w:rsidRDefault="003E017B">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3E1DF2A9" w14:textId="77777777" w:rsidR="003D5452" w:rsidRDefault="003E017B">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1DF323C0" w14:textId="77777777" w:rsidR="003D5452" w:rsidRDefault="003E017B">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13AF34E0" w14:textId="77777777" w:rsidR="003D5452" w:rsidRDefault="003D5452">
      <w:pPr>
        <w:ind w:left="360"/>
        <w:jc w:val="both"/>
        <w:rPr>
          <w:rFonts w:ascii="Arial" w:eastAsia="Arial" w:hAnsi="Arial" w:cs="Arial"/>
          <w:b/>
          <w:bCs/>
          <w:sz w:val="22"/>
          <w:szCs w:val="22"/>
          <w:highlight w:val="white"/>
        </w:rPr>
      </w:pPr>
    </w:p>
    <w:p w14:paraId="438C2AB9" w14:textId="77777777" w:rsidR="003D5452" w:rsidRDefault="003E017B">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734FE1A2" w14:textId="77777777" w:rsidR="003D5452" w:rsidRDefault="003D5452">
      <w:pPr>
        <w:jc w:val="both"/>
        <w:rPr>
          <w:rFonts w:ascii="Arial" w:eastAsia="Arial" w:hAnsi="Arial" w:cs="Arial"/>
          <w:sz w:val="22"/>
          <w:szCs w:val="22"/>
          <w:highlight w:val="white"/>
        </w:rPr>
      </w:pPr>
    </w:p>
    <w:p w14:paraId="5A8FE94E" w14:textId="77777777" w:rsidR="003D5452" w:rsidRDefault="003E017B">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5DF62D13" w14:textId="77777777" w:rsidR="003D5452" w:rsidRDefault="003D5452">
      <w:pPr>
        <w:jc w:val="both"/>
        <w:rPr>
          <w:rFonts w:ascii="Arial" w:eastAsia="Arial" w:hAnsi="Arial" w:cs="Arial"/>
          <w:sz w:val="22"/>
          <w:szCs w:val="22"/>
          <w:highlight w:val="white"/>
        </w:rPr>
      </w:pPr>
    </w:p>
    <w:p w14:paraId="482C26A4" w14:textId="77777777" w:rsidR="003D5452" w:rsidRDefault="003E017B">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Resolución No. 2138 del 25 de septiembre de 2019.</w:t>
      </w:r>
    </w:p>
    <w:p w14:paraId="60D33B44" w14:textId="77777777" w:rsidR="003D5452" w:rsidRDefault="003D5452">
      <w:pPr>
        <w:jc w:val="both"/>
        <w:rPr>
          <w:rFonts w:ascii="Arial" w:eastAsia="Arial" w:hAnsi="Arial" w:cs="Arial"/>
          <w:sz w:val="22"/>
          <w:szCs w:val="22"/>
        </w:rPr>
      </w:pPr>
    </w:p>
    <w:p w14:paraId="229589CE" w14:textId="77777777" w:rsidR="003D5452" w:rsidRDefault="003E017B">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5DD45F1A" w14:textId="77777777" w:rsidR="003D5452" w:rsidRDefault="003D5452">
      <w:pPr>
        <w:ind w:right="567"/>
        <w:jc w:val="both"/>
        <w:rPr>
          <w:rFonts w:ascii="Arial" w:eastAsia="Arial" w:hAnsi="Arial" w:cs="Arial"/>
          <w:i/>
          <w:iCs/>
          <w:sz w:val="22"/>
          <w:szCs w:val="22"/>
        </w:rPr>
      </w:pPr>
    </w:p>
    <w:p w14:paraId="37515C49" w14:textId="77777777" w:rsidR="003D5452" w:rsidRDefault="003E017B">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474E2F51" w14:textId="77777777" w:rsidR="003D5452" w:rsidRDefault="003D5452">
      <w:pPr>
        <w:jc w:val="both"/>
        <w:rPr>
          <w:rFonts w:ascii="Arial" w:eastAsia="Arial" w:hAnsi="Arial" w:cs="Arial"/>
          <w:sz w:val="22"/>
          <w:szCs w:val="22"/>
        </w:rPr>
      </w:pPr>
    </w:p>
    <w:p w14:paraId="1D7A0541" w14:textId="77777777" w:rsidR="003D5452" w:rsidRDefault="003E017B">
      <w:pPr>
        <w:tabs>
          <w:tab w:val="left" w:pos="284"/>
        </w:tabs>
        <w:jc w:val="both"/>
        <w:rPr>
          <w:rFonts w:ascii="Arial" w:eastAsia="Arial" w:hAnsi="Arial" w:cs="Arial"/>
          <w:sz w:val="22"/>
          <w:szCs w:val="22"/>
        </w:rPr>
      </w:pPr>
      <w:r>
        <w:rPr>
          <w:rFonts w:ascii="Arial" w:eastAsia="Arial" w:hAnsi="Arial" w:cs="Arial"/>
          <w:sz w:val="22"/>
          <w:szCs w:val="22"/>
        </w:rPr>
        <w:t xml:space="preserve">Bajo las anteriores consideraciones, una vez evaluada la conducta objeto de reproche desde sus diferentes dimensiones y teniendo en cuenta los criterios normativos señalados, a los cuales se encuentra sujeta la discrecionalidad de la administración, esta Dirección </w:t>
      </w:r>
      <w:r>
        <w:rPr>
          <w:rFonts w:ascii="Arial" w:eastAsia="Arial" w:hAnsi="Arial" w:cs="Arial"/>
          <w:sz w:val="22"/>
          <w:szCs w:val="22"/>
        </w:rPr>
        <w:lastRenderedPageBreak/>
        <w:t>iniciará la definición de la sanción que resulte necesario imponer, frente a la conducta desplegada por parte de la sociedad enajenadora investigada a saber:</w:t>
      </w:r>
    </w:p>
    <w:p w14:paraId="6D284562" w14:textId="77777777" w:rsidR="003D5452" w:rsidRDefault="003D5452">
      <w:pPr>
        <w:pBdr>
          <w:top w:val="nil"/>
          <w:left w:val="nil"/>
          <w:bottom w:val="nil"/>
          <w:right w:val="nil"/>
          <w:between w:val="nil"/>
        </w:pBdr>
        <w:tabs>
          <w:tab w:val="left" w:pos="284"/>
        </w:tabs>
        <w:jc w:val="both"/>
        <w:rPr>
          <w:rFonts w:ascii="Arial" w:eastAsia="Arial" w:hAnsi="Arial" w:cs="Arial"/>
          <w:b/>
          <w:bCs/>
          <w:color w:val="000000"/>
          <w:sz w:val="22"/>
          <w:szCs w:val="22"/>
        </w:rPr>
      </w:pPr>
    </w:p>
    <w:p w14:paraId="3CFAB856" w14:textId="77777777" w:rsidR="003D5452" w:rsidRDefault="003E017B">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797E9F45" w14:textId="77777777" w:rsidR="003D5452" w:rsidRDefault="003D5452">
      <w:pPr>
        <w:pBdr>
          <w:top w:val="nil"/>
          <w:left w:val="nil"/>
          <w:bottom w:val="nil"/>
          <w:right w:val="nil"/>
          <w:between w:val="nil"/>
        </w:pBdr>
        <w:tabs>
          <w:tab w:val="left" w:pos="284"/>
        </w:tabs>
        <w:jc w:val="both"/>
        <w:rPr>
          <w:rFonts w:ascii="Arial" w:eastAsia="Arial" w:hAnsi="Arial" w:cs="Arial"/>
          <w:color w:val="000000"/>
          <w:sz w:val="22"/>
          <w:szCs w:val="22"/>
        </w:rPr>
      </w:pPr>
    </w:p>
    <w:p w14:paraId="09B106B7" w14:textId="77777777" w:rsidR="003D5452" w:rsidRDefault="003E017B">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tres (3) meses para realizar los trabajos tendientes a solucionar en forma definitiva los hechos objeto de sanción</w:t>
      </w:r>
      <w:r>
        <w:rPr>
          <w:rFonts w:ascii="Arial" w:eastAsia="Arial" w:hAnsi="Arial" w:cs="Arial"/>
          <w:sz w:val="22"/>
          <w:szCs w:val="22"/>
        </w:rPr>
        <w:t>.</w:t>
      </w:r>
    </w:p>
    <w:p w14:paraId="675B5CA4" w14:textId="77777777" w:rsidR="003D5452" w:rsidRDefault="003E017B">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36FDE854" w14:textId="77777777" w:rsidR="003D5452" w:rsidRDefault="003E017B">
      <w:pPr>
        <w:jc w:val="both"/>
        <w:rPr>
          <w:rFonts w:ascii="Arial" w:eastAsia="Arial" w:hAnsi="Arial" w:cs="Arial"/>
          <w:color w:val="FF9900"/>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2138 del 25 de septiembre de 2019.</w:t>
      </w:r>
    </w:p>
    <w:p w14:paraId="45C6B5CF" w14:textId="77777777" w:rsidR="003D5452" w:rsidRDefault="003D5452">
      <w:pPr>
        <w:jc w:val="both"/>
        <w:rPr>
          <w:rFonts w:ascii="Arial" w:eastAsia="Arial" w:hAnsi="Arial" w:cs="Arial"/>
          <w:color w:val="FF9900"/>
          <w:sz w:val="22"/>
          <w:szCs w:val="22"/>
        </w:rPr>
      </w:pPr>
    </w:p>
    <w:p w14:paraId="73399120" w14:textId="77777777" w:rsidR="003D5452" w:rsidRDefault="003E017B">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URBANIZADORA MARVAL S.A.S,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02816B0B" w14:textId="77777777" w:rsidR="003D5452" w:rsidRDefault="003D5452">
      <w:pPr>
        <w:jc w:val="both"/>
        <w:rPr>
          <w:rFonts w:ascii="Arial" w:eastAsia="Arial" w:hAnsi="Arial" w:cs="Arial"/>
          <w:sz w:val="22"/>
          <w:szCs w:val="22"/>
        </w:rPr>
      </w:pPr>
    </w:p>
    <w:p w14:paraId="39F4468F" w14:textId="449E2AB2" w:rsidR="003D5452" w:rsidRDefault="003E017B">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URBANIZADORA MARVAL S.A.S</w:t>
      </w:r>
      <w:r>
        <w:rPr>
          <w:rFonts w:ascii="Arial" w:eastAsia="Arial" w:hAnsi="Arial" w:cs="Arial"/>
          <w:b/>
          <w:bCs/>
          <w:sz w:val="22"/>
          <w:szCs w:val="22"/>
        </w:rPr>
        <w:t>,</w:t>
      </w:r>
      <w:r>
        <w:rPr>
          <w:rFonts w:ascii="Arial" w:eastAsia="Arial" w:hAnsi="Arial" w:cs="Arial"/>
          <w:sz w:val="22"/>
          <w:szCs w:val="22"/>
        </w:rPr>
        <w:t xml:space="preserve"> sí ha sido objeto de multas sucesivas por estos mismos hechos, como en la </w:t>
      </w:r>
      <w:r w:rsidR="00F34353">
        <w:rPr>
          <w:rFonts w:ascii="Arial" w:eastAsia="Arial" w:hAnsi="Arial" w:cs="Arial"/>
          <w:sz w:val="22"/>
          <w:szCs w:val="22"/>
        </w:rPr>
        <w:t>Resolución</w:t>
      </w:r>
      <w:r>
        <w:rPr>
          <w:rFonts w:ascii="Arial" w:eastAsia="Arial" w:hAnsi="Arial" w:cs="Arial"/>
          <w:sz w:val="22"/>
          <w:szCs w:val="22"/>
        </w:rPr>
        <w:t xml:space="preserve"> No. 2596 del 26 de octubre de 2023 </w:t>
      </w:r>
      <w:r>
        <w:rPr>
          <w:rFonts w:ascii="Arial" w:eastAsia="Arial" w:hAnsi="Arial" w:cs="Arial"/>
          <w:i/>
          <w:iCs/>
          <w:sz w:val="22"/>
          <w:szCs w:val="22"/>
        </w:rPr>
        <w:t xml:space="preserve">“Por la cual se impone una multa por incumplimiento de una orden”.  </w:t>
      </w:r>
    </w:p>
    <w:p w14:paraId="6B43B351" w14:textId="77777777" w:rsidR="003D5452" w:rsidRDefault="003D5452">
      <w:pPr>
        <w:jc w:val="both"/>
        <w:rPr>
          <w:rFonts w:ascii="Arial" w:eastAsia="Arial" w:hAnsi="Arial" w:cs="Arial"/>
          <w:sz w:val="22"/>
          <w:szCs w:val="22"/>
        </w:rPr>
      </w:pPr>
    </w:p>
    <w:p w14:paraId="1F431354" w14:textId="77777777" w:rsidR="003D5452" w:rsidRDefault="003E017B">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URBANIZADORA MARVAL S.A.S</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6B493C61" w14:textId="77777777" w:rsidR="003D5452" w:rsidRDefault="003D5452">
      <w:pPr>
        <w:jc w:val="both"/>
        <w:rPr>
          <w:rFonts w:ascii="Arial" w:eastAsia="Arial" w:hAnsi="Arial" w:cs="Arial"/>
          <w:b/>
          <w:bCs/>
          <w:sz w:val="22"/>
          <w:szCs w:val="22"/>
        </w:rPr>
      </w:pPr>
    </w:p>
    <w:p w14:paraId="739E3E49" w14:textId="77777777" w:rsidR="003D5452" w:rsidRDefault="003E017B">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URBANIZADORA MARVAL S.A.S, haya propiciado o utilizado alguna maniobra fraudulenta para ocultar la comisión y consecuencias de la infracción que se le imputó, por lo que este criterio no resulta aplicable para graduar la sanción a imponer.</w:t>
      </w:r>
    </w:p>
    <w:p w14:paraId="18C869D6" w14:textId="77777777" w:rsidR="003D5452" w:rsidRDefault="003D5452">
      <w:pPr>
        <w:jc w:val="both"/>
        <w:rPr>
          <w:rFonts w:ascii="Arial" w:eastAsia="Arial" w:hAnsi="Arial" w:cs="Arial"/>
          <w:sz w:val="22"/>
          <w:szCs w:val="22"/>
        </w:rPr>
      </w:pPr>
    </w:p>
    <w:p w14:paraId="5B90FF32" w14:textId="77777777" w:rsidR="003D5452" w:rsidRDefault="003E017B">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w:t>
      </w:r>
      <w:r>
        <w:rPr>
          <w:rFonts w:ascii="Arial" w:eastAsia="Arial" w:hAnsi="Arial" w:cs="Arial"/>
          <w:sz w:val="22"/>
          <w:szCs w:val="22"/>
        </w:rPr>
        <w:lastRenderedPageBreak/>
        <w:t xml:space="preserve">a partir de la voluntaria decisión de desarrollar actividades de enajenación de vivienda urbana en el Distrito Capital, situación que acarrea la observancia de tales aspectos. </w:t>
      </w:r>
    </w:p>
    <w:p w14:paraId="649B13CD" w14:textId="77777777" w:rsidR="003D5452" w:rsidRDefault="003D5452">
      <w:pPr>
        <w:jc w:val="both"/>
        <w:rPr>
          <w:rFonts w:ascii="Arial" w:eastAsia="Arial" w:hAnsi="Arial" w:cs="Arial"/>
          <w:sz w:val="22"/>
          <w:szCs w:val="22"/>
        </w:rPr>
      </w:pPr>
    </w:p>
    <w:p w14:paraId="2C539C3B" w14:textId="77777777" w:rsidR="003D5452" w:rsidRDefault="003E017B">
      <w:pPr>
        <w:jc w:val="both"/>
        <w:rPr>
          <w:rFonts w:ascii="Arial" w:eastAsia="Arial" w:hAnsi="Arial" w:cs="Arial"/>
          <w:sz w:val="22"/>
          <w:szCs w:val="22"/>
        </w:rPr>
      </w:pPr>
      <w:r>
        <w:rPr>
          <w:rFonts w:ascii="Arial" w:eastAsia="Arial" w:hAnsi="Arial" w:cs="Arial"/>
          <w:sz w:val="22"/>
          <w:szCs w:val="22"/>
        </w:rPr>
        <w:t>Bajo este entendido, se hace necesario resaltar, que en la presente actuación administrativa de seguimiento se evidenció que la sociedad enajenadora URBANIZADORA MARVAL S.A.S no logró demostrar un grado de prudencia y diligencia con el que se hayan atendido los deberes, en tanto no allegó prueba que demuestre actividades encaminadas a la subsanación de los hechos establecidos en la Resolución No. 2138 del 25 de septiembre de 2019.</w:t>
      </w:r>
    </w:p>
    <w:p w14:paraId="1E9D4779" w14:textId="77777777" w:rsidR="003D5452" w:rsidRDefault="003D5452">
      <w:pPr>
        <w:jc w:val="both"/>
        <w:rPr>
          <w:rFonts w:ascii="Arial" w:eastAsia="Arial" w:hAnsi="Arial" w:cs="Arial"/>
          <w:sz w:val="22"/>
          <w:szCs w:val="22"/>
        </w:rPr>
      </w:pPr>
    </w:p>
    <w:p w14:paraId="12CB9DBD" w14:textId="5428DE4C" w:rsidR="003D5452" w:rsidRDefault="003E017B">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URBANIZADORA MARVAL S.A.S, ha incumplido en su totalidad la orden de hacer impuesta en la Resolución No. 2138 del 25 de septiembre de 2019, impartida por este Despacho, razón por la cual, la acá sancionado se encuentra inmersa en esta conducta.</w:t>
      </w:r>
    </w:p>
    <w:p w14:paraId="286F18A7" w14:textId="77777777" w:rsidR="003D5452" w:rsidRDefault="003D5452">
      <w:pPr>
        <w:jc w:val="both"/>
        <w:rPr>
          <w:rFonts w:ascii="Arial" w:eastAsia="Arial" w:hAnsi="Arial" w:cs="Arial"/>
          <w:sz w:val="22"/>
          <w:szCs w:val="22"/>
        </w:rPr>
      </w:pPr>
    </w:p>
    <w:p w14:paraId="491192F6" w14:textId="77777777" w:rsidR="003D5452" w:rsidRDefault="003E017B">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2138 del 25 de septiembre de 2019, razón por la cual, este criterio no resulta aplicable en la presente instancia.</w:t>
      </w:r>
    </w:p>
    <w:p w14:paraId="423FCE78" w14:textId="77777777" w:rsidR="003D5452" w:rsidRDefault="003D5452">
      <w:pPr>
        <w:jc w:val="both"/>
        <w:rPr>
          <w:rFonts w:ascii="Arial" w:eastAsia="Arial" w:hAnsi="Arial" w:cs="Arial"/>
          <w:sz w:val="22"/>
          <w:szCs w:val="22"/>
          <w:highlight w:val="white"/>
        </w:rPr>
      </w:pPr>
    </w:p>
    <w:p w14:paraId="24E0A909" w14:textId="77777777" w:rsidR="003D5452" w:rsidRDefault="003E017B">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59C19722" w14:textId="77777777" w:rsidR="003D5452" w:rsidRDefault="003D5452">
      <w:pPr>
        <w:tabs>
          <w:tab w:val="left" w:pos="5982"/>
        </w:tabs>
        <w:jc w:val="both"/>
        <w:rPr>
          <w:rFonts w:ascii="Arial" w:eastAsia="Arial" w:hAnsi="Arial" w:cs="Arial"/>
          <w:sz w:val="22"/>
          <w:szCs w:val="22"/>
          <w:highlight w:val="white"/>
        </w:rPr>
      </w:pPr>
    </w:p>
    <w:p w14:paraId="72CFDD86" w14:textId="77777777" w:rsidR="003D5452" w:rsidRDefault="003E017B">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2B724648" w14:textId="77777777" w:rsidR="003D5452" w:rsidRDefault="003D5452">
      <w:pPr>
        <w:jc w:val="both"/>
        <w:rPr>
          <w:rFonts w:ascii="Arial" w:eastAsia="Arial" w:hAnsi="Arial" w:cs="Arial"/>
          <w:sz w:val="22"/>
          <w:szCs w:val="22"/>
          <w:highlight w:val="white"/>
        </w:rPr>
      </w:pPr>
    </w:p>
    <w:p w14:paraId="59FF0183" w14:textId="77777777" w:rsidR="003D5452" w:rsidRDefault="003E017B">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26E9D1C3" w14:textId="77777777" w:rsidR="003D5452" w:rsidRDefault="003D5452">
      <w:pPr>
        <w:jc w:val="both"/>
        <w:rPr>
          <w:rFonts w:ascii="Arial" w:eastAsia="Arial" w:hAnsi="Arial" w:cs="Arial"/>
          <w:sz w:val="22"/>
          <w:szCs w:val="22"/>
          <w:highlight w:val="white"/>
        </w:rPr>
      </w:pPr>
    </w:p>
    <w:p w14:paraId="2EF683B4" w14:textId="6F4CAC0F" w:rsidR="003D5452" w:rsidRDefault="003E017B" w:rsidP="00F34353">
      <w:pPr>
        <w:jc w:val="both"/>
        <w:rPr>
          <w:rFonts w:ascii="Arial" w:eastAsia="Arial" w:hAnsi="Arial" w:cs="Arial"/>
          <w:sz w:val="22"/>
          <w:szCs w:val="22"/>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w:t>
      </w:r>
      <w:r>
        <w:rPr>
          <w:rFonts w:ascii="Arial" w:eastAsia="Arial" w:hAnsi="Arial" w:cs="Arial"/>
          <w:sz w:val="22"/>
          <w:szCs w:val="22"/>
          <w:highlight w:val="white"/>
        </w:rPr>
        <w:lastRenderedPageBreak/>
        <w:t>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r>
        <w:rPr>
          <w:rFonts w:ascii="Arial" w:eastAsia="Arial" w:hAnsi="Arial" w:cs="Arial"/>
          <w:sz w:val="22"/>
          <w:szCs w:val="22"/>
        </w:rPr>
        <w:t>Para la actualización de la sanción se da aplicación a la siguiente fórmula:</w:t>
      </w:r>
    </w:p>
    <w:p w14:paraId="422762A9" w14:textId="77777777" w:rsidR="003D5452" w:rsidRDefault="003D5452">
      <w:pPr>
        <w:tabs>
          <w:tab w:val="left" w:pos="4253"/>
          <w:tab w:val="right" w:pos="8504"/>
        </w:tabs>
        <w:jc w:val="both"/>
        <w:rPr>
          <w:rFonts w:ascii="Arial" w:eastAsia="Arial" w:hAnsi="Arial" w:cs="Arial"/>
          <w:sz w:val="22"/>
          <w:szCs w:val="22"/>
        </w:rPr>
      </w:pPr>
    </w:p>
    <w:p w14:paraId="42B31695" w14:textId="77777777" w:rsidR="00F34353" w:rsidRDefault="003E017B" w:rsidP="00F34353">
      <w:pPr>
        <w:jc w:val="center"/>
        <w:rPr>
          <w:rFonts w:ascii="Arial" w:eastAsia="Arial" w:hAnsi="Arial" w:cs="Arial"/>
          <w:sz w:val="22"/>
          <w:szCs w:val="22"/>
        </w:rPr>
      </w:pPr>
      <w:r>
        <w:rPr>
          <w:rFonts w:ascii="Arial" w:eastAsia="Arial" w:hAnsi="Arial" w:cs="Arial"/>
          <w:b/>
          <w:bCs/>
          <w:sz w:val="22"/>
          <w:szCs w:val="22"/>
        </w:rPr>
        <w:t xml:space="preserve">        </w:t>
      </w:r>
      <w:r w:rsidR="00F34353">
        <w:rPr>
          <w:rFonts w:ascii="Arial" w:eastAsia="Arial" w:hAnsi="Arial" w:cs="Arial"/>
          <w:b/>
          <w:bCs/>
          <w:sz w:val="22"/>
          <w:szCs w:val="22"/>
        </w:rPr>
        <w:t xml:space="preserve">        (</w:t>
      </w:r>
      <w:r w:rsidR="00F34353">
        <w:rPr>
          <w:rFonts w:ascii="Arial" w:eastAsia="Arial" w:hAnsi="Arial" w:cs="Arial"/>
          <w:sz w:val="22"/>
          <w:szCs w:val="22"/>
        </w:rPr>
        <w:t>IPC-F) 156.94</w:t>
      </w:r>
    </w:p>
    <w:p w14:paraId="6B762FDD" w14:textId="77777777" w:rsidR="00F34353" w:rsidRDefault="00F34353" w:rsidP="00F34353">
      <w:pPr>
        <w:jc w:val="center"/>
        <w:rPr>
          <w:rFonts w:ascii="Arial" w:eastAsia="Arial" w:hAnsi="Arial" w:cs="Arial"/>
          <w:sz w:val="22"/>
          <w:szCs w:val="22"/>
        </w:rPr>
      </w:pPr>
      <w:r>
        <w:rPr>
          <w:rFonts w:ascii="Arial" w:eastAsia="Arial" w:hAnsi="Arial" w:cs="Arial"/>
          <w:sz w:val="22"/>
          <w:szCs w:val="22"/>
        </w:rPr>
        <w:t>VP= (VH) $500.000 --------------------------- = $113.724.638</w:t>
      </w:r>
    </w:p>
    <w:p w14:paraId="3017140B" w14:textId="77777777" w:rsidR="00F34353" w:rsidRDefault="00F34353" w:rsidP="00F34353">
      <w:pPr>
        <w:jc w:val="center"/>
        <w:rPr>
          <w:rFonts w:ascii="Arial" w:eastAsia="Arial" w:hAnsi="Arial" w:cs="Arial"/>
          <w:sz w:val="22"/>
          <w:szCs w:val="22"/>
        </w:rPr>
      </w:pPr>
      <w:r>
        <w:rPr>
          <w:rFonts w:ascii="Arial" w:eastAsia="Arial" w:hAnsi="Arial" w:cs="Arial"/>
          <w:sz w:val="22"/>
          <w:szCs w:val="22"/>
        </w:rPr>
        <w:t xml:space="preserve">       (IPC-I) 0,69</w:t>
      </w:r>
    </w:p>
    <w:p w14:paraId="0068AD10" w14:textId="77777777" w:rsidR="00F34353" w:rsidRDefault="00F34353" w:rsidP="00F34353">
      <w:pPr>
        <w:widowControl w:val="0"/>
        <w:tabs>
          <w:tab w:val="left" w:pos="4253"/>
        </w:tabs>
        <w:jc w:val="both"/>
        <w:rPr>
          <w:rFonts w:ascii="Arial" w:eastAsia="Arial" w:hAnsi="Arial" w:cs="Arial"/>
          <w:sz w:val="22"/>
          <w:szCs w:val="22"/>
        </w:rPr>
      </w:pPr>
    </w:p>
    <w:p w14:paraId="4AC3E1BB" w14:textId="77777777" w:rsidR="00F34353" w:rsidRDefault="00F34353" w:rsidP="00F34353">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7">
        <w:r>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57B78F23" w14:textId="77777777" w:rsidR="00F34353" w:rsidRDefault="00F34353" w:rsidP="00F34353">
      <w:pPr>
        <w:tabs>
          <w:tab w:val="left" w:pos="4253"/>
          <w:tab w:val="right" w:pos="8504"/>
        </w:tabs>
        <w:jc w:val="both"/>
        <w:rPr>
          <w:rFonts w:ascii="Arial" w:eastAsia="Arial" w:hAnsi="Arial" w:cs="Arial"/>
          <w:sz w:val="22"/>
          <w:szCs w:val="22"/>
        </w:rPr>
      </w:pPr>
    </w:p>
    <w:p w14:paraId="37FB0F87" w14:textId="77777777" w:rsidR="00F34353" w:rsidRDefault="00F34353" w:rsidP="00F3435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SETENTA Y CUATRO MIL CUATROCIENTOS NOVENTA Y TRES PESOS ($2.274.493) M/CTE, y los QUINIENTOS MIL PESOS ($500.000) M/CTE, que corresponden a CIENTO TRECE MILLONES SETECIENTOS VEINTICUATRO MIL SEISCIENTOS TREINTA Y OCHO PESOS ($113.724.638) M/CTE, lo anterior nos ilustra respecto de los límites de la sanción, más no respecto de la multa a imponer.</w:t>
      </w:r>
    </w:p>
    <w:p w14:paraId="47EB525B" w14:textId="77777777" w:rsidR="003D5452" w:rsidRDefault="003D5452">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29C33E35" w14:textId="77777777" w:rsidR="003D5452" w:rsidRDefault="003E017B">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w:t>
      </w:r>
      <w:r>
        <w:rPr>
          <w:rFonts w:ascii="Arial" w:eastAsia="Arial" w:hAnsi="Arial" w:cs="Arial"/>
          <w:sz w:val="22"/>
          <w:szCs w:val="22"/>
          <w:highlight w:val="white"/>
        </w:rPr>
        <w:lastRenderedPageBreak/>
        <w:t xml:space="preserve">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TREINTA Y CUATRO MIL QUINIENTOS PESOS ($34.500) M/CTE, debiendo ser indexados según lo dicho y la fórmula anteriormente enunciada, así: </w:t>
      </w:r>
    </w:p>
    <w:p w14:paraId="4236463B" w14:textId="77777777" w:rsidR="003D5452" w:rsidRDefault="003D5452">
      <w:pPr>
        <w:jc w:val="both"/>
        <w:rPr>
          <w:rFonts w:ascii="Arial" w:eastAsia="Arial" w:hAnsi="Arial" w:cs="Arial"/>
          <w:sz w:val="22"/>
          <w:szCs w:val="22"/>
        </w:rPr>
      </w:pPr>
    </w:p>
    <w:p w14:paraId="23377224" w14:textId="77777777" w:rsidR="00F34353" w:rsidRDefault="003E017B" w:rsidP="00F34353">
      <w:pPr>
        <w:jc w:val="center"/>
        <w:rPr>
          <w:rFonts w:ascii="Arial" w:eastAsia="Arial" w:hAnsi="Arial" w:cs="Arial"/>
          <w:sz w:val="22"/>
          <w:szCs w:val="22"/>
        </w:rPr>
      </w:pPr>
      <w:r>
        <w:rPr>
          <w:rFonts w:ascii="Arial" w:eastAsia="Arial" w:hAnsi="Arial" w:cs="Arial"/>
          <w:color w:val="EE0000"/>
          <w:sz w:val="22"/>
          <w:szCs w:val="22"/>
        </w:rPr>
        <w:t xml:space="preserve">        </w:t>
      </w:r>
      <w:r w:rsidR="00F34353">
        <w:rPr>
          <w:rFonts w:ascii="Arial" w:eastAsia="Arial" w:hAnsi="Arial" w:cs="Arial"/>
          <w:b/>
          <w:bCs/>
          <w:sz w:val="22"/>
          <w:szCs w:val="22"/>
        </w:rPr>
        <w:t xml:space="preserve"> (</w:t>
      </w:r>
      <w:r w:rsidR="00F34353">
        <w:rPr>
          <w:rFonts w:ascii="Arial" w:eastAsia="Arial" w:hAnsi="Arial" w:cs="Arial"/>
          <w:sz w:val="22"/>
          <w:szCs w:val="22"/>
        </w:rPr>
        <w:t>IPC-F) 156.94</w:t>
      </w:r>
    </w:p>
    <w:p w14:paraId="6F5EF692" w14:textId="3AFA7D61" w:rsidR="003D5452" w:rsidRDefault="003E017B">
      <w:pPr>
        <w:jc w:val="center"/>
        <w:rPr>
          <w:rFonts w:ascii="Arial" w:eastAsia="Arial" w:hAnsi="Arial" w:cs="Arial"/>
          <w:sz w:val="22"/>
          <w:szCs w:val="22"/>
        </w:rPr>
      </w:pPr>
      <w:r>
        <w:rPr>
          <w:rFonts w:ascii="Arial" w:eastAsia="Arial" w:hAnsi="Arial" w:cs="Arial"/>
          <w:sz w:val="22"/>
          <w:szCs w:val="22"/>
        </w:rPr>
        <w:t>VP= (VH) $34.</w:t>
      </w:r>
      <w:proofErr w:type="gramStart"/>
      <w:r>
        <w:rPr>
          <w:rFonts w:ascii="Arial" w:eastAsia="Arial" w:hAnsi="Arial" w:cs="Arial"/>
          <w:sz w:val="22"/>
          <w:szCs w:val="22"/>
        </w:rPr>
        <w:t>500  ---------------------------</w:t>
      </w:r>
      <w:proofErr w:type="gramEnd"/>
      <w:r>
        <w:rPr>
          <w:rFonts w:ascii="Arial" w:eastAsia="Arial" w:hAnsi="Arial" w:cs="Arial"/>
          <w:sz w:val="22"/>
          <w:szCs w:val="22"/>
        </w:rPr>
        <w:t xml:space="preserve"> = $7.</w:t>
      </w:r>
      <w:r w:rsidR="00F34353">
        <w:rPr>
          <w:rFonts w:ascii="Arial" w:eastAsia="Arial" w:hAnsi="Arial" w:cs="Arial"/>
          <w:sz w:val="22"/>
          <w:szCs w:val="22"/>
        </w:rPr>
        <w:t>847</w:t>
      </w:r>
      <w:r>
        <w:rPr>
          <w:rFonts w:ascii="Arial" w:eastAsia="Arial" w:hAnsi="Arial" w:cs="Arial"/>
          <w:sz w:val="22"/>
          <w:szCs w:val="22"/>
        </w:rPr>
        <w:t>.</w:t>
      </w:r>
      <w:r w:rsidR="00F34353">
        <w:rPr>
          <w:rFonts w:ascii="Arial" w:eastAsia="Arial" w:hAnsi="Arial" w:cs="Arial"/>
          <w:sz w:val="22"/>
          <w:szCs w:val="22"/>
        </w:rPr>
        <w:t>0</w:t>
      </w:r>
      <w:r>
        <w:rPr>
          <w:rFonts w:ascii="Arial" w:eastAsia="Arial" w:hAnsi="Arial" w:cs="Arial"/>
          <w:sz w:val="22"/>
          <w:szCs w:val="22"/>
        </w:rPr>
        <w:t>00</w:t>
      </w:r>
    </w:p>
    <w:p w14:paraId="292623AB" w14:textId="77777777" w:rsidR="003D5452" w:rsidRDefault="003E017B">
      <w:pPr>
        <w:jc w:val="center"/>
        <w:rPr>
          <w:rFonts w:ascii="Arial" w:eastAsia="Arial" w:hAnsi="Arial" w:cs="Arial"/>
          <w:sz w:val="22"/>
          <w:szCs w:val="22"/>
        </w:rPr>
      </w:pPr>
      <w:r>
        <w:rPr>
          <w:rFonts w:ascii="Arial" w:eastAsia="Arial" w:hAnsi="Arial" w:cs="Arial"/>
          <w:sz w:val="22"/>
          <w:szCs w:val="22"/>
        </w:rPr>
        <w:t xml:space="preserve">      (IPC-I) 0,69</w:t>
      </w:r>
    </w:p>
    <w:p w14:paraId="37332EDD" w14:textId="77777777" w:rsidR="003D5452" w:rsidRDefault="003D5452">
      <w:pPr>
        <w:jc w:val="both"/>
        <w:rPr>
          <w:rFonts w:ascii="Arial" w:eastAsia="Arial" w:hAnsi="Arial" w:cs="Arial"/>
          <w:sz w:val="22"/>
          <w:szCs w:val="22"/>
        </w:rPr>
      </w:pPr>
    </w:p>
    <w:p w14:paraId="4199A2A9" w14:textId="63F0C40D" w:rsidR="003D5452" w:rsidRDefault="003E017B">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URBANIZADORA MARVAL S.A.S, Identificada con NIT 830.012.053-3, </w:t>
      </w:r>
      <w:r>
        <w:rPr>
          <w:rFonts w:ascii="Arial" w:eastAsia="Arial" w:hAnsi="Arial" w:cs="Arial"/>
          <w:sz w:val="22"/>
          <w:szCs w:val="22"/>
          <w:highlight w:val="white"/>
        </w:rPr>
        <w:t xml:space="preserve">por incumplimiento de la orden de hacer ya mencionada será de SIETE MILLONES </w:t>
      </w:r>
      <w:r w:rsidR="00F34353">
        <w:rPr>
          <w:rFonts w:ascii="Arial" w:eastAsia="Arial" w:hAnsi="Arial" w:cs="Arial"/>
          <w:sz w:val="22"/>
          <w:szCs w:val="22"/>
          <w:highlight w:val="white"/>
        </w:rPr>
        <w:t xml:space="preserve">OCHOCIENTOS CUARENTA Y SIETE MIL PESOS </w:t>
      </w:r>
      <w:r>
        <w:rPr>
          <w:rFonts w:ascii="Arial" w:eastAsia="Arial" w:hAnsi="Arial" w:cs="Arial"/>
          <w:sz w:val="22"/>
          <w:szCs w:val="22"/>
          <w:highlight w:val="white"/>
        </w:rPr>
        <w:t>(</w:t>
      </w:r>
      <w:r>
        <w:rPr>
          <w:rFonts w:ascii="Arial" w:eastAsia="Arial" w:hAnsi="Arial" w:cs="Arial"/>
          <w:sz w:val="22"/>
          <w:szCs w:val="22"/>
        </w:rPr>
        <w:t>$7.</w:t>
      </w:r>
      <w:r w:rsidR="00F34353">
        <w:rPr>
          <w:rFonts w:ascii="Arial" w:eastAsia="Arial" w:hAnsi="Arial" w:cs="Arial"/>
          <w:sz w:val="22"/>
          <w:szCs w:val="22"/>
        </w:rPr>
        <w:t>847</w:t>
      </w:r>
      <w:r>
        <w:rPr>
          <w:rFonts w:ascii="Arial" w:eastAsia="Arial" w:hAnsi="Arial" w:cs="Arial"/>
          <w:sz w:val="22"/>
          <w:szCs w:val="22"/>
        </w:rPr>
        <w:t>.</w:t>
      </w:r>
      <w:r w:rsidR="00F34353">
        <w:rPr>
          <w:rFonts w:ascii="Arial" w:eastAsia="Arial" w:hAnsi="Arial" w:cs="Arial"/>
          <w:sz w:val="22"/>
          <w:szCs w:val="22"/>
        </w:rPr>
        <w:t>0</w:t>
      </w:r>
      <w:r>
        <w:rPr>
          <w:rFonts w:ascii="Arial" w:eastAsia="Arial" w:hAnsi="Arial" w:cs="Arial"/>
          <w:sz w:val="22"/>
          <w:szCs w:val="22"/>
        </w:rPr>
        <w:t>00</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3E020716" w14:textId="77777777" w:rsidR="003D5452" w:rsidRDefault="003D5452">
      <w:pPr>
        <w:rPr>
          <w:rFonts w:ascii="Arial" w:eastAsia="Arial" w:hAnsi="Arial" w:cs="Arial"/>
          <w:b/>
          <w:bCs/>
          <w:sz w:val="22"/>
          <w:szCs w:val="22"/>
        </w:rPr>
      </w:pPr>
    </w:p>
    <w:p w14:paraId="6ED69ABA" w14:textId="77777777" w:rsidR="003D5452" w:rsidRDefault="003E017B">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39FAB334" w14:textId="77777777" w:rsidR="003D5452" w:rsidRDefault="003D5452">
      <w:pPr>
        <w:jc w:val="both"/>
        <w:rPr>
          <w:rFonts w:ascii="Arial" w:eastAsia="Arial" w:hAnsi="Arial" w:cs="Arial"/>
          <w:sz w:val="22"/>
          <w:szCs w:val="22"/>
        </w:rPr>
      </w:pPr>
    </w:p>
    <w:p w14:paraId="61B99F71" w14:textId="77777777" w:rsidR="003D5452" w:rsidRDefault="003E017B">
      <w:pPr>
        <w:jc w:val="center"/>
        <w:rPr>
          <w:rFonts w:ascii="Arial" w:eastAsia="Arial" w:hAnsi="Arial" w:cs="Arial"/>
          <w:sz w:val="22"/>
          <w:szCs w:val="22"/>
        </w:rPr>
      </w:pPr>
      <w:r>
        <w:rPr>
          <w:rFonts w:ascii="Arial" w:eastAsia="Arial" w:hAnsi="Arial" w:cs="Arial"/>
          <w:b/>
          <w:bCs/>
          <w:sz w:val="22"/>
          <w:szCs w:val="22"/>
          <w:highlight w:val="white"/>
        </w:rPr>
        <w:t>RESUELVE</w:t>
      </w:r>
    </w:p>
    <w:p w14:paraId="29268BD1" w14:textId="77777777" w:rsidR="003D5452" w:rsidRDefault="003D5452">
      <w:pPr>
        <w:jc w:val="both"/>
        <w:rPr>
          <w:rFonts w:ascii="Arial" w:eastAsia="Arial" w:hAnsi="Arial" w:cs="Arial"/>
          <w:sz w:val="22"/>
          <w:szCs w:val="22"/>
        </w:rPr>
      </w:pPr>
    </w:p>
    <w:p w14:paraId="46CE9BA1" w14:textId="1C2C1F11" w:rsidR="003D5452" w:rsidRDefault="003E017B">
      <w:pPr>
        <w:jc w:val="both"/>
        <w:rPr>
          <w:rFonts w:ascii="Arial" w:eastAsia="Arial" w:hAnsi="Arial" w:cs="Arial"/>
          <w:sz w:val="22"/>
          <w:szCs w:val="22"/>
        </w:rPr>
      </w:pPr>
      <w:r>
        <w:rPr>
          <w:rFonts w:ascii="Arial" w:eastAsia="Arial" w:hAnsi="Arial" w:cs="Arial"/>
          <w:b/>
          <w:bCs/>
          <w:sz w:val="22"/>
          <w:szCs w:val="22"/>
        </w:rPr>
        <w:t xml:space="preserve">ARTÍCULO SEGUNDO: </w:t>
      </w:r>
      <w:r>
        <w:rPr>
          <w:rFonts w:ascii="Arial" w:eastAsia="Arial" w:hAnsi="Arial" w:cs="Arial"/>
          <w:sz w:val="22"/>
          <w:szCs w:val="22"/>
        </w:rPr>
        <w:t xml:space="preserve">Imponer a la sociedad enajenadora URBANIZADORA MARVAL S.A.S, Identificada con NIT 830.012.053-3 multa de TREINTA Y CUATRO MIL QUINIENTOS PESOS ($34.500) M/CTE, que indexados a la fecha corresponden a la suma de </w:t>
      </w:r>
      <w:r w:rsidR="00F34353">
        <w:rPr>
          <w:rFonts w:ascii="Arial" w:eastAsia="Arial" w:hAnsi="Arial" w:cs="Arial"/>
          <w:sz w:val="22"/>
          <w:szCs w:val="22"/>
          <w:highlight w:val="white"/>
        </w:rPr>
        <w:t>SIETE MILLONES OCHOCIENTOS CUARENTA Y SIETE MIL PESOS (</w:t>
      </w:r>
      <w:r w:rsidR="00F34353">
        <w:rPr>
          <w:rFonts w:ascii="Arial" w:eastAsia="Arial" w:hAnsi="Arial" w:cs="Arial"/>
          <w:sz w:val="22"/>
          <w:szCs w:val="22"/>
        </w:rPr>
        <w:t>$7.847.000</w:t>
      </w:r>
      <w:r w:rsidR="00F34353">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 2138 del 25 de septiembre de 2019</w:t>
      </w:r>
      <w:r>
        <w:rPr>
          <w:rFonts w:ascii="Arial" w:eastAsia="Arial" w:hAnsi="Arial" w:cs="Arial"/>
          <w:i/>
          <w:iCs/>
          <w:sz w:val="22"/>
          <w:szCs w:val="22"/>
        </w:rPr>
        <w:t>,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7F354CFF" w14:textId="77777777" w:rsidR="003D5452" w:rsidRDefault="003D5452">
      <w:pPr>
        <w:pBdr>
          <w:top w:val="nil"/>
          <w:left w:val="nil"/>
          <w:bottom w:val="nil"/>
          <w:right w:val="nil"/>
          <w:between w:val="nil"/>
        </w:pBdr>
        <w:jc w:val="both"/>
        <w:rPr>
          <w:rFonts w:ascii="Arial" w:eastAsia="Arial" w:hAnsi="Arial" w:cs="Arial"/>
          <w:b/>
          <w:bCs/>
          <w:color w:val="000000"/>
          <w:sz w:val="22"/>
          <w:szCs w:val="22"/>
          <w:highlight w:val="white"/>
        </w:rPr>
      </w:pPr>
    </w:p>
    <w:p w14:paraId="3AD7C6DA" w14:textId="77777777" w:rsidR="003D5452" w:rsidRDefault="003E017B">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sz w:val="22"/>
          <w:szCs w:val="22"/>
        </w:rPr>
        <w:t>TERCERO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02F4688C" w14:textId="77777777" w:rsidR="003D5452" w:rsidRDefault="003E017B">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755B840B" w14:textId="77777777" w:rsidR="003D5452" w:rsidRDefault="003E017B">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 xml:space="preserve">ARTÍCULO </w:t>
      </w:r>
      <w:r>
        <w:rPr>
          <w:rFonts w:ascii="Arial" w:eastAsia="Arial" w:hAnsi="Arial" w:cs="Arial"/>
          <w:b/>
          <w:bCs/>
          <w:sz w:val="22"/>
          <w:szCs w:val="22"/>
        </w:rPr>
        <w:t>CUARTO</w:t>
      </w:r>
      <w:r>
        <w:rPr>
          <w:rFonts w:ascii="Arial" w:eastAsia="Arial" w:hAnsi="Arial" w:cs="Arial"/>
          <w:b/>
          <w:bCs/>
          <w:color w:val="000000"/>
          <w:sz w:val="22"/>
          <w:szCs w:val="22"/>
        </w:rPr>
        <w:t>: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 xml:space="preserve">ejecutoria y hasta el momento en que se realice el pago, según lo establece el Decreto 289 de 2021 artículo 27 inc. 8. De no efectuarse el pago de la multa impuesta dentro del término señalado, éste se hará efectivo por jurisdicción </w:t>
      </w:r>
      <w:r>
        <w:rPr>
          <w:rFonts w:ascii="Arial" w:eastAsia="Arial" w:hAnsi="Arial" w:cs="Arial"/>
          <w:sz w:val="22"/>
          <w:szCs w:val="22"/>
        </w:rPr>
        <w:lastRenderedPageBreak/>
        <w:t>coactiva a través de la Subdirección de Cobro no Tributario de la Secretaría Distrital de Hacienda, con las consecuencias jurídicas y financieras que de ello se derivan.</w:t>
      </w:r>
    </w:p>
    <w:p w14:paraId="52E59B40" w14:textId="77777777" w:rsidR="003D5452" w:rsidRDefault="003D5452">
      <w:pPr>
        <w:pBdr>
          <w:top w:val="nil"/>
          <w:left w:val="nil"/>
          <w:bottom w:val="nil"/>
          <w:right w:val="nil"/>
          <w:between w:val="nil"/>
        </w:pBdr>
        <w:jc w:val="both"/>
        <w:rPr>
          <w:rFonts w:ascii="Arial" w:eastAsia="Arial" w:hAnsi="Arial" w:cs="Arial"/>
          <w:sz w:val="22"/>
          <w:szCs w:val="22"/>
        </w:rPr>
      </w:pPr>
    </w:p>
    <w:p w14:paraId="4D81BD64" w14:textId="0147B7A7" w:rsidR="003D5452" w:rsidRDefault="003E017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Notificar el contenido de la presente Resolución al representante legal y/o al apoderado de la sociedad enajenadora URBANIZADORA MARVAL S.A.S, Identificada con NIT 830.012.053-3</w:t>
      </w:r>
      <w:r>
        <w:rPr>
          <w:rFonts w:ascii="Arial" w:eastAsia="Arial" w:hAnsi="Arial" w:cs="Arial"/>
          <w:color w:val="FF9900"/>
          <w:sz w:val="22"/>
          <w:szCs w:val="22"/>
        </w:rPr>
        <w:t xml:space="preserve"> </w:t>
      </w:r>
      <w:r>
        <w:rPr>
          <w:rFonts w:ascii="Arial" w:eastAsia="Arial" w:hAnsi="Arial" w:cs="Arial"/>
          <w:sz w:val="22"/>
          <w:szCs w:val="22"/>
        </w:rPr>
        <w:t xml:space="preserve">para lo cual deberá </w:t>
      </w:r>
      <w:r w:rsidR="00F34353">
        <w:rPr>
          <w:rFonts w:ascii="Arial" w:eastAsia="Arial" w:hAnsi="Arial" w:cs="Arial"/>
          <w:sz w:val="22"/>
          <w:szCs w:val="22"/>
        </w:rPr>
        <w:t xml:space="preserve">notificarse </w:t>
      </w:r>
      <w:r>
        <w:rPr>
          <w:rFonts w:ascii="Arial" w:eastAsia="Arial" w:hAnsi="Arial" w:cs="Arial"/>
          <w:sz w:val="22"/>
          <w:szCs w:val="22"/>
        </w:rPr>
        <w:t xml:space="preserve">a la dirección electrónica </w:t>
      </w:r>
      <w:r>
        <w:rPr>
          <w:rFonts w:ascii="Arial" w:eastAsia="Arial" w:hAnsi="Arial" w:cs="Arial"/>
          <w:color w:val="3D85C6"/>
          <w:sz w:val="22"/>
          <w:szCs w:val="22"/>
          <w:u w:val="single"/>
        </w:rPr>
        <w:t>infomedio</w:t>
      </w:r>
      <w:hyperlink r:id="rId10">
        <w:r>
          <w:rPr>
            <w:rFonts w:ascii="Arial" w:eastAsia="Arial" w:hAnsi="Arial" w:cs="Arial"/>
            <w:color w:val="3D85C6"/>
            <w:sz w:val="22"/>
            <w:szCs w:val="22"/>
            <w:u w:val="single"/>
          </w:rPr>
          <w:t>s@marval.com</w:t>
        </w:r>
      </w:hyperlink>
      <w:r>
        <w:rPr>
          <w:rFonts w:ascii="Arial" w:eastAsia="Arial" w:hAnsi="Arial" w:cs="Arial"/>
          <w:color w:val="3D85C6"/>
          <w:sz w:val="22"/>
          <w:szCs w:val="22"/>
          <w:u w:val="single"/>
        </w:rPr>
        <w:t>.co</w:t>
      </w:r>
      <w:r w:rsidR="00F34353">
        <w:rPr>
          <w:rFonts w:ascii="Arial" w:eastAsia="Arial" w:hAnsi="Arial" w:cs="Arial"/>
          <w:color w:val="3D85C6"/>
          <w:sz w:val="22"/>
          <w:szCs w:val="22"/>
          <w:u w:val="single"/>
        </w:rPr>
        <w:t>,</w:t>
      </w:r>
      <w:r>
        <w:rPr>
          <w:rFonts w:ascii="Arial" w:eastAsia="Arial" w:hAnsi="Arial" w:cs="Arial"/>
          <w:sz w:val="22"/>
          <w:szCs w:val="22"/>
        </w:rPr>
        <w:t xml:space="preserve"> </w:t>
      </w:r>
      <w:r w:rsidR="00F34353">
        <w:rPr>
          <w:rFonts w:ascii="Arial" w:eastAsia="Arial" w:hAnsi="Arial" w:cs="Arial"/>
          <w:sz w:val="22"/>
          <w:szCs w:val="22"/>
        </w:rPr>
        <w:t xml:space="preserve">de acuerdo con el radicado 1-2020-20797, </w:t>
      </w:r>
      <w:r>
        <w:rPr>
          <w:rFonts w:ascii="Arial" w:eastAsia="Arial" w:hAnsi="Arial" w:cs="Arial"/>
          <w:sz w:val="22"/>
          <w:szCs w:val="22"/>
        </w:rPr>
        <w:t xml:space="preserve">o en su defecto, de conformidad con las normas previstas en la ley 1437 de 2011. </w:t>
      </w:r>
    </w:p>
    <w:p w14:paraId="054B88B0" w14:textId="77777777" w:rsidR="003D5452" w:rsidRDefault="003D5452">
      <w:pPr>
        <w:pBdr>
          <w:top w:val="nil"/>
          <w:left w:val="nil"/>
          <w:bottom w:val="nil"/>
          <w:right w:val="nil"/>
          <w:between w:val="nil"/>
        </w:pBdr>
        <w:jc w:val="both"/>
        <w:rPr>
          <w:rFonts w:ascii="Arial" w:eastAsia="Arial" w:hAnsi="Arial" w:cs="Arial"/>
          <w:b/>
          <w:bCs/>
          <w:sz w:val="22"/>
          <w:szCs w:val="22"/>
          <w:highlight w:val="white"/>
        </w:rPr>
      </w:pPr>
    </w:p>
    <w:p w14:paraId="3DC775DE" w14:textId="4DCDDC5C" w:rsidR="003D5452" w:rsidRDefault="003E017B">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ARTÌCULO SEXTO</w:t>
      </w:r>
      <w:r>
        <w:rPr>
          <w:rFonts w:ascii="Arial" w:eastAsia="Arial" w:hAnsi="Arial" w:cs="Arial"/>
          <w:b/>
          <w:bCs/>
          <w:sz w:val="22"/>
          <w:szCs w:val="22"/>
        </w:rPr>
        <w:t>:</w:t>
      </w:r>
      <w:r>
        <w:rPr>
          <w:rFonts w:ascii="Arial" w:eastAsia="Arial" w:hAnsi="Arial" w:cs="Arial"/>
          <w:sz w:val="22"/>
          <w:szCs w:val="22"/>
        </w:rPr>
        <w:t xml:space="preserve"> Notificar el contenido de esta Resolución al </w:t>
      </w:r>
      <w:r w:rsidR="00A82FF3">
        <w:rPr>
          <w:rFonts w:ascii="Arial" w:eastAsia="Arial" w:hAnsi="Arial" w:cs="Arial"/>
          <w:sz w:val="22"/>
          <w:szCs w:val="22"/>
        </w:rPr>
        <w:t>propietario del a</w:t>
      </w:r>
      <w:r w:rsidR="00A82FF3">
        <w:rPr>
          <w:rFonts w:ascii="Arial" w:eastAsia="Arial" w:hAnsi="Arial" w:cs="Arial"/>
          <w:sz w:val="22"/>
          <w:szCs w:val="22"/>
          <w:highlight w:val="white"/>
        </w:rPr>
        <w:t>partamento 430 de la Torre 10</w:t>
      </w:r>
      <w:r w:rsidR="00A82FF3">
        <w:rPr>
          <w:rFonts w:ascii="Arial" w:eastAsia="Arial" w:hAnsi="Arial" w:cs="Arial"/>
          <w:sz w:val="22"/>
          <w:szCs w:val="22"/>
        </w:rPr>
        <w:t xml:space="preserve"> (o quien haga sus veces) </w:t>
      </w:r>
      <w:r>
        <w:rPr>
          <w:rFonts w:ascii="Arial" w:eastAsia="Arial" w:hAnsi="Arial" w:cs="Arial"/>
          <w:sz w:val="22"/>
          <w:szCs w:val="22"/>
        </w:rPr>
        <w:t xml:space="preserve">del proyecto de </w:t>
      </w:r>
      <w:r w:rsidR="00F34353">
        <w:rPr>
          <w:rFonts w:ascii="Arial" w:eastAsia="Arial" w:hAnsi="Arial" w:cs="Arial"/>
          <w:sz w:val="22"/>
          <w:szCs w:val="22"/>
        </w:rPr>
        <w:t>vivienda AGRUPACIÓN</w:t>
      </w:r>
      <w:r>
        <w:rPr>
          <w:rFonts w:ascii="Arial" w:eastAsia="Arial" w:hAnsi="Arial" w:cs="Arial"/>
          <w:sz w:val="22"/>
          <w:szCs w:val="22"/>
        </w:rPr>
        <w:t xml:space="preserve"> RESIDENCIAL PRADERA DE SAN CARLOS - PROPIEDAD HORIZONTAL, para lo cual deberá enviarse citación para notificación personal a la </w:t>
      </w:r>
      <w:r w:rsidR="00A82FF3">
        <w:rPr>
          <w:rFonts w:ascii="Arial" w:eastAsia="Arial" w:hAnsi="Arial" w:cs="Arial"/>
          <w:sz w:val="22"/>
          <w:szCs w:val="22"/>
        </w:rPr>
        <w:t>dirección</w:t>
      </w:r>
      <w:r>
        <w:rPr>
          <w:rFonts w:ascii="Arial" w:eastAsia="Arial" w:hAnsi="Arial" w:cs="Arial"/>
          <w:sz w:val="22"/>
          <w:szCs w:val="22"/>
        </w:rPr>
        <w:t xml:space="preserve"> física </w:t>
      </w:r>
      <w:r>
        <w:rPr>
          <w:rFonts w:ascii="Arial" w:eastAsia="Arial" w:hAnsi="Arial" w:cs="Arial"/>
          <w:sz w:val="22"/>
          <w:szCs w:val="22"/>
          <w:highlight w:val="white"/>
        </w:rPr>
        <w:t>Carrera 11</w:t>
      </w:r>
      <w:r w:rsidR="00A82FF3">
        <w:rPr>
          <w:rFonts w:ascii="Arial" w:eastAsia="Arial" w:hAnsi="Arial" w:cs="Arial"/>
          <w:sz w:val="22"/>
          <w:szCs w:val="22"/>
          <w:highlight w:val="white"/>
        </w:rPr>
        <w:t xml:space="preserve"> </w:t>
      </w:r>
      <w:r>
        <w:rPr>
          <w:rFonts w:ascii="Arial" w:eastAsia="Arial" w:hAnsi="Arial" w:cs="Arial"/>
          <w:sz w:val="22"/>
          <w:szCs w:val="22"/>
          <w:highlight w:val="white"/>
        </w:rPr>
        <w:t>A No. 190</w:t>
      </w:r>
      <w:r w:rsidR="00A82FF3">
        <w:rPr>
          <w:rFonts w:ascii="Arial" w:eastAsia="Arial" w:hAnsi="Arial" w:cs="Arial"/>
          <w:sz w:val="22"/>
          <w:szCs w:val="22"/>
          <w:highlight w:val="white"/>
        </w:rPr>
        <w:t xml:space="preserve"> </w:t>
      </w:r>
      <w:r>
        <w:rPr>
          <w:rFonts w:ascii="Arial" w:eastAsia="Arial" w:hAnsi="Arial" w:cs="Arial"/>
          <w:sz w:val="22"/>
          <w:szCs w:val="22"/>
          <w:highlight w:val="white"/>
        </w:rPr>
        <w:t xml:space="preserve">-12 </w:t>
      </w:r>
      <w:r w:rsidR="00A82FF3">
        <w:rPr>
          <w:rFonts w:ascii="Arial" w:eastAsia="Arial" w:hAnsi="Arial" w:cs="Arial"/>
          <w:sz w:val="22"/>
          <w:szCs w:val="22"/>
          <w:highlight w:val="white"/>
        </w:rPr>
        <w:t xml:space="preserve">Apartamento 430 de la Torre 10 </w:t>
      </w:r>
      <w:r>
        <w:rPr>
          <w:rFonts w:ascii="Arial" w:eastAsia="Arial" w:hAnsi="Arial" w:cs="Arial"/>
          <w:sz w:val="22"/>
          <w:szCs w:val="22"/>
          <w:highlight w:val="white"/>
        </w:rPr>
        <w:t xml:space="preserve">de </w:t>
      </w:r>
      <w:r w:rsidR="00A82FF3">
        <w:rPr>
          <w:rFonts w:ascii="Arial" w:eastAsia="Arial" w:hAnsi="Arial" w:cs="Arial"/>
          <w:sz w:val="22"/>
          <w:szCs w:val="22"/>
          <w:highlight w:val="white"/>
        </w:rPr>
        <w:t>Bogotá</w:t>
      </w:r>
      <w:r w:rsidR="00A82FF3">
        <w:rPr>
          <w:rFonts w:ascii="Arial" w:eastAsia="Arial" w:hAnsi="Arial" w:cs="Arial"/>
          <w:sz w:val="22"/>
          <w:szCs w:val="22"/>
        </w:rPr>
        <w:t xml:space="preserve">, </w:t>
      </w:r>
      <w:r>
        <w:rPr>
          <w:rFonts w:ascii="Arial" w:eastAsia="Arial" w:hAnsi="Arial" w:cs="Arial"/>
          <w:sz w:val="22"/>
          <w:szCs w:val="22"/>
        </w:rPr>
        <w:t>o, en su defecto, de conformidad con las normas de notificación previstas en la Ley 1437 de 2011.</w:t>
      </w:r>
    </w:p>
    <w:p w14:paraId="2801ACC0" w14:textId="77777777" w:rsidR="003D5452" w:rsidRDefault="003D5452">
      <w:pPr>
        <w:widowControl w:val="0"/>
        <w:jc w:val="both"/>
        <w:rPr>
          <w:rFonts w:ascii="Arial" w:eastAsia="Arial" w:hAnsi="Arial" w:cs="Arial"/>
          <w:b/>
          <w:bCs/>
          <w:sz w:val="22"/>
          <w:szCs w:val="22"/>
        </w:rPr>
      </w:pPr>
    </w:p>
    <w:p w14:paraId="634D1931" w14:textId="77777777" w:rsidR="003D5452" w:rsidRDefault="003E017B">
      <w:pPr>
        <w:widowControl w:val="0"/>
        <w:jc w:val="both"/>
        <w:rPr>
          <w:rFonts w:ascii="Arial" w:eastAsia="Arial" w:hAnsi="Arial" w:cs="Arial"/>
          <w:sz w:val="22"/>
          <w:szCs w:val="22"/>
        </w:rPr>
      </w:pPr>
      <w:r>
        <w:rPr>
          <w:rFonts w:ascii="Arial" w:eastAsia="Arial" w:hAnsi="Arial" w:cs="Arial"/>
          <w:b/>
          <w:bCs/>
          <w:sz w:val="22"/>
          <w:szCs w:val="22"/>
        </w:rPr>
        <w:t xml:space="preserve">ARTÍCULO SÉPTIMO: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FCC45AB" w14:textId="77777777" w:rsidR="003D5452" w:rsidRDefault="003D5452">
      <w:pPr>
        <w:widowControl w:val="0"/>
        <w:jc w:val="both"/>
        <w:rPr>
          <w:rFonts w:ascii="Arial" w:eastAsia="Arial" w:hAnsi="Arial" w:cs="Arial"/>
          <w:sz w:val="22"/>
          <w:szCs w:val="22"/>
        </w:rPr>
      </w:pPr>
    </w:p>
    <w:p w14:paraId="7A9974EE" w14:textId="77777777" w:rsidR="003D5452" w:rsidRDefault="003E017B">
      <w:pPr>
        <w:jc w:val="both"/>
        <w:rPr>
          <w:rFonts w:ascii="Arial" w:eastAsia="Arial" w:hAnsi="Arial" w:cs="Arial"/>
          <w:sz w:val="22"/>
          <w:szCs w:val="22"/>
        </w:rPr>
      </w:pPr>
      <w:r>
        <w:rPr>
          <w:rFonts w:ascii="Arial" w:eastAsia="Arial" w:hAnsi="Arial" w:cs="Arial"/>
          <w:b/>
          <w:bCs/>
          <w:sz w:val="22"/>
          <w:szCs w:val="22"/>
        </w:rPr>
        <w:t>ARTÍCULO OCTAVO:</w:t>
      </w:r>
      <w:r>
        <w:rPr>
          <w:rFonts w:ascii="Arial" w:eastAsia="Arial" w:hAnsi="Arial" w:cs="Arial"/>
          <w:sz w:val="22"/>
          <w:szCs w:val="22"/>
        </w:rPr>
        <w:t xml:space="preserve"> La presente Resolución rige a partir de su expedición.</w:t>
      </w:r>
    </w:p>
    <w:p w14:paraId="6C27B70F" w14:textId="77777777" w:rsidR="003D5452" w:rsidRDefault="003D5452">
      <w:pPr>
        <w:pBdr>
          <w:top w:val="nil"/>
          <w:left w:val="nil"/>
          <w:bottom w:val="nil"/>
          <w:right w:val="nil"/>
          <w:between w:val="nil"/>
        </w:pBdr>
        <w:jc w:val="both"/>
        <w:rPr>
          <w:rFonts w:ascii="Arial" w:eastAsia="Arial" w:hAnsi="Arial" w:cs="Arial"/>
          <w:b/>
          <w:bCs/>
          <w:color w:val="000000"/>
          <w:sz w:val="22"/>
          <w:szCs w:val="22"/>
          <w:highlight w:val="white"/>
        </w:rPr>
      </w:pPr>
    </w:p>
    <w:p w14:paraId="4AA6AA2B" w14:textId="77777777" w:rsidR="003D5452" w:rsidRDefault="003E017B">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76DB06DD" w14:textId="77777777" w:rsidR="003D5452" w:rsidRDefault="003D5452">
      <w:pPr>
        <w:rPr>
          <w:rFonts w:ascii="Arial" w:eastAsia="Arial" w:hAnsi="Arial" w:cs="Arial"/>
          <w:b/>
          <w:bCs/>
          <w:sz w:val="22"/>
          <w:szCs w:val="22"/>
        </w:rPr>
      </w:pPr>
    </w:p>
    <w:p w14:paraId="4BA344EB" w14:textId="77777777" w:rsidR="003D5452" w:rsidRDefault="003D5452">
      <w:pPr>
        <w:jc w:val="center"/>
        <w:rPr>
          <w:rFonts w:ascii="Arial" w:eastAsia="Arial" w:hAnsi="Arial" w:cs="Arial"/>
          <w:b/>
          <w:bCs/>
          <w:sz w:val="22"/>
          <w:szCs w:val="22"/>
        </w:rPr>
      </w:pPr>
    </w:p>
    <w:p w14:paraId="5197D64B" w14:textId="77777777" w:rsidR="003D5452" w:rsidRDefault="003D5452">
      <w:pPr>
        <w:rPr>
          <w:rFonts w:ascii="Arial" w:eastAsia="Arial" w:hAnsi="Arial" w:cs="Arial"/>
          <w:b/>
          <w:bCs/>
          <w:sz w:val="22"/>
          <w:szCs w:val="22"/>
        </w:rPr>
      </w:pPr>
    </w:p>
    <w:p w14:paraId="4904DCCD" w14:textId="77777777" w:rsidR="003D5452" w:rsidRDefault="003D5452">
      <w:pPr>
        <w:jc w:val="center"/>
        <w:rPr>
          <w:rFonts w:ascii="Arial" w:eastAsia="Arial" w:hAnsi="Arial" w:cs="Arial"/>
          <w:b/>
          <w:bCs/>
          <w:sz w:val="22"/>
          <w:szCs w:val="22"/>
        </w:rPr>
      </w:pPr>
    </w:p>
    <w:p w14:paraId="5A979158" w14:textId="77777777" w:rsidR="003D5452" w:rsidRDefault="003E017B">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03AFB3E4" w14:textId="77777777" w:rsidR="003D5452" w:rsidRDefault="003E017B">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0694D9EB" w14:textId="77777777" w:rsidR="003D5452" w:rsidRDefault="003D5452">
      <w:pPr>
        <w:rPr>
          <w:rFonts w:ascii="Arial" w:eastAsia="Arial" w:hAnsi="Arial" w:cs="Arial"/>
          <w:sz w:val="22"/>
          <w:szCs w:val="22"/>
        </w:rPr>
      </w:pPr>
    </w:p>
    <w:p w14:paraId="1778C6AB" w14:textId="77777777" w:rsidR="003D5452" w:rsidRDefault="003E017B">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0F6A4DBD" w14:textId="77777777" w:rsidR="003D5452" w:rsidRDefault="003E017B">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7C35074D" w14:textId="77777777" w:rsidR="003D5452" w:rsidRDefault="003D5452">
      <w:pPr>
        <w:pBdr>
          <w:top w:val="nil"/>
          <w:left w:val="nil"/>
          <w:bottom w:val="nil"/>
          <w:right w:val="nil"/>
          <w:between w:val="nil"/>
        </w:pBdr>
        <w:rPr>
          <w:rFonts w:ascii="Arial" w:eastAsia="Arial" w:hAnsi="Arial" w:cs="Arial"/>
          <w:i/>
          <w:iCs/>
          <w:color w:val="EE0000"/>
          <w:sz w:val="16"/>
          <w:szCs w:val="16"/>
        </w:rPr>
      </w:pPr>
    </w:p>
    <w:sectPr w:rsidR="003D5452">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F3853" w14:textId="77777777" w:rsidR="002D3C38" w:rsidRDefault="002D3C38">
      <w:r>
        <w:separator/>
      </w:r>
    </w:p>
  </w:endnote>
  <w:endnote w:type="continuationSeparator" w:id="0">
    <w:p w14:paraId="23D8C36B" w14:textId="77777777" w:rsidR="002D3C38" w:rsidRDefault="002D3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CA45B070-0FFA-4405-9F24-3647352FE1CE}"/>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91F2A3A-6F07-4B75-819C-CF68B6A66D38}"/>
    <w:embedBold r:id="rId3" w:fontKey="{3C5E13C3-5FED-4DFD-B923-58841CFC74B5}"/>
  </w:font>
  <w:font w:name="Cambria">
    <w:panose1 w:val="02040503050406030204"/>
    <w:charset w:val="00"/>
    <w:family w:val="roman"/>
    <w:pitch w:val="variable"/>
    <w:sig w:usb0="E00006FF" w:usb1="420024FF" w:usb2="02000000" w:usb3="00000000" w:csb0="0000019F" w:csb1="00000000"/>
    <w:embedRegular r:id="rId4" w:fontKey="{411141C2-7DF9-42AC-9CDB-2DB2B8330C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0ABE4" w14:textId="77777777" w:rsidR="003D5452" w:rsidRDefault="003E017B">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011B0C58" wp14:editId="05B53F60">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3"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049F42C4" w14:textId="77777777" w:rsidR="003D5452" w:rsidRDefault="003E017B">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010B07">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010B07">
      <w:rPr>
        <w:b/>
        <w:bCs/>
        <w:noProof/>
        <w:color w:val="000000"/>
      </w:rPr>
      <w:t>2</w:t>
    </w:r>
    <w:r>
      <w:rPr>
        <w:b/>
        <w:bCs/>
        <w:color w:val="000000"/>
      </w:rPr>
      <w:fldChar w:fldCharType="end"/>
    </w:r>
  </w:p>
  <w:p w14:paraId="6CD11345" w14:textId="77777777" w:rsidR="003D5452" w:rsidRDefault="003E017B">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2BDD3581" w14:textId="77777777" w:rsidR="003D5452" w:rsidRDefault="003E017B">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54CEA38" wp14:editId="42C228FD">
              <wp:simplePos x="0" y="0"/>
              <wp:positionH relativeFrom="column">
                <wp:posOffset>5146681</wp:posOffset>
              </wp:positionH>
              <wp:positionV relativeFrom="paragraph">
                <wp:posOffset>44451</wp:posOffset>
              </wp:positionV>
              <wp:extent cx="1155699" cy="81343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565ABE4D" w14:textId="77777777" w:rsidR="003D5452" w:rsidRDefault="003E017B">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54CEA38" id="Rectángulo 1" o:spid="_x0000_s1026" style="position:absolute;margin-left:405.25pt;margin-top:3.5pt;width:91pt;height:64.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" strokecolor="white [3201]">
              <v:stroke startarrowwidth="narrow" startarrowlength="short" endarrowwidth="narrow" endarrowlength="short"/>
              <v:textbox inset="2.53958mm,1.2694mm,2.53958mm,1.2694mm">
                <w:txbxContent>
                  <w:p w14:paraId="565ABE4D" w14:textId="77777777" w:rsidR="003D5452" w:rsidRDefault="003E017B">
                    <w:pPr>
                      <w:jc w:val="center"/>
                      <w:textDirection w:val="btLr"/>
                    </w:pPr>
                    <w:r>
                      <w:rPr>
                        <w:rFonts w:ascii="Arial" w:eastAsia="Arial" w:hAnsi="Arial" w:cs="Arial"/>
                        <w:color w:val="000000"/>
                        <w:sz w:val="14"/>
                      </w:rPr>
                      <w:t>PG02-PL03 V2</w:t>
                    </w:r>
                  </w:p>
                </w:txbxContent>
              </v:textbox>
              <w10:wrap type="square"/>
            </v:rect>
          </w:pict>
        </mc:Fallback>
      </mc:AlternateContent>
    </w:r>
  </w:p>
  <w:p w14:paraId="605A5E05" w14:textId="77777777" w:rsidR="003D5452" w:rsidRDefault="003E017B">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05D5BC96" w14:textId="77777777" w:rsidR="003D5452" w:rsidRPr="00010B07" w:rsidRDefault="003E017B">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010B07">
      <w:rPr>
        <w:rFonts w:ascii="Arial" w:eastAsia="Arial" w:hAnsi="Arial" w:cs="Arial"/>
        <w:color w:val="000000"/>
        <w:sz w:val="16"/>
        <w:szCs w:val="16"/>
        <w:lang w:val="pt-PT"/>
      </w:rPr>
      <w:t xml:space="preserve">Código Postal: 110231 </w:t>
    </w:r>
  </w:p>
  <w:p w14:paraId="73B08701" w14:textId="77777777" w:rsidR="003D5452" w:rsidRPr="00010B07" w:rsidRDefault="003E017B">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fldChar w:fldCharType="begin"/>
    </w:r>
    <w:r w:rsidRPr="009A7176">
      <w:rPr>
        <w:lang w:val="pt-PT"/>
      </w:rPr>
      <w:instrText>HYPERLINK "http://www.habitatbogota.gov.co" \h</w:instrText>
    </w:r>
    <w:r>
      <w:fldChar w:fldCharType="separate"/>
    </w:r>
    <w:r w:rsidRPr="00010B07">
      <w:rPr>
        <w:rFonts w:ascii="Arial" w:eastAsia="Arial" w:hAnsi="Arial" w:cs="Arial"/>
        <w:color w:val="0000FF"/>
        <w:sz w:val="16"/>
        <w:szCs w:val="16"/>
        <w:u w:val="single"/>
        <w:lang w:val="pt-PT"/>
      </w:rPr>
      <w:t>www.habitatbogota.gov.co</w:t>
    </w:r>
    <w:r>
      <w:fldChar w:fldCharType="end"/>
    </w:r>
    <w:r w:rsidRPr="00010B07">
      <w:rPr>
        <w:rFonts w:ascii="Arial" w:eastAsia="Arial" w:hAnsi="Arial" w:cs="Arial"/>
        <w:color w:val="000000"/>
        <w:sz w:val="16"/>
        <w:szCs w:val="16"/>
        <w:lang w:val="pt-PT"/>
      </w:rPr>
      <w:t xml:space="preserve">                 </w:t>
    </w:r>
  </w:p>
  <w:p w14:paraId="56381A43" w14:textId="77777777" w:rsidR="003D5452" w:rsidRPr="00010B07" w:rsidRDefault="003D5452">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DA947" w14:textId="77777777" w:rsidR="002D3C38" w:rsidRDefault="002D3C38">
      <w:r>
        <w:separator/>
      </w:r>
    </w:p>
  </w:footnote>
  <w:footnote w:type="continuationSeparator" w:id="0">
    <w:p w14:paraId="1B93DFB3" w14:textId="77777777" w:rsidR="002D3C38" w:rsidRDefault="002D3C38">
      <w:r>
        <w:continuationSeparator/>
      </w:r>
    </w:p>
  </w:footnote>
  <w:footnote w:id="1">
    <w:p w14:paraId="2DAB46C9" w14:textId="77777777" w:rsidR="003D5452" w:rsidRDefault="003E017B">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1EC76703" w14:textId="77777777" w:rsidR="003D5452" w:rsidRDefault="003E017B">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62C79755" w14:textId="77777777" w:rsidR="003D5452" w:rsidRDefault="003E017B">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FB7E0" w14:textId="77777777" w:rsidR="003D5452" w:rsidRDefault="003D5452">
    <w:pPr>
      <w:rPr>
        <w:b/>
        <w:bCs/>
        <w:sz w:val="22"/>
        <w:szCs w:val="22"/>
      </w:rPr>
    </w:pPr>
    <w:bookmarkStart w:id="6" w:name="_heading=h.g0ck6mntm1z9" w:colFirst="0" w:colLast="0"/>
    <w:bookmarkEnd w:id="6"/>
  </w:p>
  <w:p w14:paraId="29DDE278" w14:textId="77777777" w:rsidR="003D5452" w:rsidRDefault="003D5452">
    <w:pPr>
      <w:rPr>
        <w:b/>
        <w:bCs/>
        <w:sz w:val="22"/>
        <w:szCs w:val="22"/>
      </w:rPr>
    </w:pPr>
  </w:p>
  <w:p w14:paraId="4045E41E" w14:textId="77777777" w:rsidR="003D5452" w:rsidRDefault="003D5452">
    <w:pPr>
      <w:rPr>
        <w:b/>
        <w:bCs/>
        <w:sz w:val="22"/>
        <w:szCs w:val="22"/>
      </w:rPr>
    </w:pPr>
  </w:p>
  <w:p w14:paraId="544D3A86" w14:textId="77777777" w:rsidR="003D5452" w:rsidRDefault="003E017B">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31CB088A" w14:textId="77777777" w:rsidR="003D5452" w:rsidRDefault="003E017B">
    <w:pPr>
      <w:jc w:val="center"/>
      <w:rPr>
        <w:rFonts w:ascii="Arial" w:eastAsia="Arial" w:hAnsi="Arial" w:cs="Arial"/>
        <w:i/>
        <w:iCs/>
        <w:sz w:val="22"/>
        <w:szCs w:val="22"/>
      </w:rPr>
    </w:pPr>
    <w:r>
      <w:rPr>
        <w:rFonts w:ascii="Arial" w:eastAsia="Arial" w:hAnsi="Arial" w:cs="Arial"/>
        <w:i/>
        <w:iCs/>
        <w:sz w:val="22"/>
        <w:szCs w:val="22"/>
      </w:rPr>
      <w:t>“Por la cual se impone una multa por incumplimiento a una orden”</w:t>
    </w:r>
  </w:p>
  <w:p w14:paraId="55135226" w14:textId="77777777" w:rsidR="003D5452" w:rsidRDefault="003E017B">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0CD0C60" wp14:editId="25607952">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5452"/>
    <w:rsid w:val="00010B07"/>
    <w:rsid w:val="002D3C38"/>
    <w:rsid w:val="003D5452"/>
    <w:rsid w:val="003E017B"/>
    <w:rsid w:val="009A7176"/>
    <w:rsid w:val="00A82FF3"/>
    <w:rsid w:val="00F34353"/>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28DB4D"/>
  <w15:docId w15:val="{A62513F4-32A3-4FCD-BB1A-2157E759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hormigonobras@hotmail.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uL2FPTekO/QRI2P36s53qmMfeA==">CgMxLjAyDmguNjN1OXh6bWtxenZzMg5oLnR6aWliOG1qdTk0ODIOaC52bXE1amxzeWxjamgyDmguNG00cTZiMXRqZ3ZnMg5oLnduZ2xtbTFreHdscjIJaC4xdDNoNXNmMg5oLmcwY2s2bW50bTF6OTgAciExU005YzY3VVctcEtNNHdJdXp2YVNmQ3BIYUJDTE1NZHc=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4589</Words>
  <Characters>25243</Characters>
  <Application>Microsoft Office Word</Application>
  <DocSecurity>0</DocSecurity>
  <Lines>210</Lines>
  <Paragraphs>59</Paragraphs>
  <ScaleCrop>false</ScaleCrop>
  <Company/>
  <LinksUpToDate>false</LinksUpToDate>
  <CharactersWithSpaces>29773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2026-05-19T15:35:00Z</dcterms:created>
  <dcterms:modified xsi:type="dcterms:W3CDTF">2026-05-19T15:35:00Z</dcterms:modified>
</cp:coreProperties>
</file>